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14A3EC88" w:rsidR="00E436EE" w:rsidRPr="00D25CE2" w:rsidRDefault="00E436EE" w:rsidP="00E436EE">
      <w:pPr>
        <w:spacing w:line="240" w:lineRule="auto"/>
        <w:rPr>
          <w:rFonts w:cs="Arial"/>
        </w:rPr>
      </w:pPr>
      <w:r w:rsidRPr="00D25CE2">
        <w:rPr>
          <w:rFonts w:cs="Arial"/>
        </w:rPr>
        <w:t xml:space="preserve">stan na: </w:t>
      </w:r>
      <w:r w:rsidR="00924EB8">
        <w:rPr>
          <w:rFonts w:cs="Arial"/>
        </w:rPr>
        <w:t>8</w:t>
      </w:r>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4637C8">
      <w:pPr>
        <w:pStyle w:val="Akapitzlist"/>
        <w:numPr>
          <w:ilvl w:val="0"/>
          <w:numId w:val="10"/>
        </w:numPr>
        <w:spacing w:line="240" w:lineRule="auto"/>
        <w:ind w:hanging="294"/>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388B063" w14:textId="256CE918" w:rsidR="00F7724D"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rPr>
        <w:t>W opisanej przez Państwa sytuacji kryterium premiujące nr 3 zostanie uznane za spełnione.</w:t>
      </w:r>
      <w:r w:rsidR="00B8547F">
        <w:rPr>
          <w:rFonts w:cs="Arial"/>
          <w:b/>
        </w:rPr>
        <w:t xml:space="preserve"> </w:t>
      </w:r>
      <w:bookmarkStart w:id="0" w:name="_GoBack"/>
      <w:bookmarkEnd w:id="0"/>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B8547F">
      <w:pPr>
        <w:spacing w:line="240" w:lineRule="auto"/>
        <w:ind w:left="709" w:hanging="283"/>
        <w:rPr>
          <w:rFonts w:cs="Arial"/>
          <w:b/>
        </w:rPr>
      </w:pPr>
      <w:r w:rsidRPr="00D25CE2">
        <w:rPr>
          <w:rFonts w:cs="Arial"/>
          <w:b/>
        </w:rPr>
        <w:t xml:space="preserve">2. </w:t>
      </w:r>
      <w:r w:rsidR="00F7724D" w:rsidRPr="00D25CE2">
        <w:rPr>
          <w:rFonts w:cs="Arial"/>
          <w:b/>
        </w:rPr>
        <w:t xml:space="preserve">Czy w momencie gdyby grupa docelowa była katalogiem otwartym, tj. objęcie wsparciem wszystkich podgrup (osób ubogich pracujących, osób zatrudnionych na umowach krótkoterminowych, osób pracujących na </w:t>
      </w:r>
      <w:r w:rsidR="00F7724D" w:rsidRPr="00D25CE2">
        <w:rPr>
          <w:rFonts w:cs="Arial"/>
          <w:b/>
        </w:rPr>
        <w:lastRenderedPageBreak/>
        <w:t>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7866DE9B" w14:textId="3B145654" w:rsidR="00122D57"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00122D57"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B8547F">
      <w:pPr>
        <w:ind w:left="709"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2102DF43" w14:textId="12AB6DAD" w:rsidR="0044762F" w:rsidRPr="00B8547F" w:rsidRDefault="0044762F"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B8547F">
      <w:pPr>
        <w:spacing w:line="240" w:lineRule="auto"/>
        <w:ind w:left="709"/>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B8547F">
      <w:pPr>
        <w:spacing w:line="240" w:lineRule="auto"/>
        <w:ind w:left="709"/>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7442B947" w14:textId="5BB8CE2B" w:rsidR="006D54FC" w:rsidRDefault="006D54FC" w:rsidP="00873178">
      <w:pPr>
        <w:spacing w:line="240" w:lineRule="auto"/>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61C4450E" w14:textId="43A92132" w:rsidR="006D54FC" w:rsidRPr="008A6444" w:rsidRDefault="006D54FC" w:rsidP="008A6444">
      <w:pPr>
        <w:spacing w:line="240" w:lineRule="auto"/>
        <w:ind w:left="709"/>
        <w:rPr>
          <w:rFonts w:cs="Arial"/>
          <w:b/>
        </w:rPr>
      </w:pPr>
      <w:r w:rsidRPr="00D25CE2">
        <w:rPr>
          <w:rFonts w:cs="Arial"/>
          <w:b/>
        </w:rPr>
        <w:lastRenderedPageBreak/>
        <w:t>Odp. ION:</w:t>
      </w:r>
      <w:r w:rsidR="008A6444">
        <w:rPr>
          <w:rFonts w:cs="Arial"/>
          <w:b/>
        </w:rPr>
        <w:t xml:space="preserve"> </w:t>
      </w: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0A6039B" w:rsidR="006D54FC" w:rsidRDefault="006D54FC" w:rsidP="00BA47B5">
      <w:pPr>
        <w:spacing w:line="240" w:lineRule="auto"/>
        <w:rPr>
          <w:rFonts w:cs="Arial"/>
        </w:rPr>
      </w:pPr>
    </w:p>
    <w:p w14:paraId="2D0BAD7B" w14:textId="7BE4C1FF" w:rsidR="00BA47B5" w:rsidRPr="00BA47B5" w:rsidRDefault="00BA47B5" w:rsidP="008A6444">
      <w:pPr>
        <w:spacing w:line="240" w:lineRule="auto"/>
        <w:ind w:left="709" w:hanging="283"/>
        <w:rPr>
          <w:rFonts w:cs="Arial"/>
          <w:b/>
          <w:kern w:val="0"/>
          <w:sz w:val="24"/>
          <w:szCs w:val="24"/>
          <w:lang w:eastAsia="pl-PL"/>
          <w14:ligatures w14:val="none"/>
        </w:rPr>
      </w:pPr>
      <w:r w:rsidRPr="00BA47B5">
        <w:rPr>
          <w:rFonts w:cs="Arial"/>
          <w:b/>
          <w:kern w:val="0"/>
          <w:sz w:val="24"/>
          <w:szCs w:val="24"/>
          <w:lang w:eastAsia="pl-PL"/>
          <w14:ligatures w14:val="none"/>
        </w:rPr>
        <w:t xml:space="preserve">7. </w:t>
      </w:r>
      <w:r w:rsidRPr="00BA47B5">
        <w:rPr>
          <w:rFonts w:cs="Arial"/>
          <w:b/>
          <w:kern w:val="0"/>
          <w:sz w:val="24"/>
          <w:szCs w:val="24"/>
          <w:lang w:eastAsia="pl-PL"/>
          <w14:ligatures w14:val="none"/>
        </w:rPr>
        <w:t xml:space="preserve">Czy wysokość stypendium szkoleniowego wynosi 120 % zasiłku, o którym mowa w art. 72 ust. 1 pkt 1 niezależnie od statusu na rynku pracy. Czy dla osób pracujących wypłacamy </w:t>
      </w:r>
      <w:proofErr w:type="spellStart"/>
      <w:r w:rsidRPr="00BA47B5">
        <w:rPr>
          <w:rFonts w:cs="Arial"/>
          <w:b/>
          <w:kern w:val="0"/>
          <w:sz w:val="24"/>
          <w:szCs w:val="24"/>
          <w:lang w:eastAsia="pl-PL"/>
          <w14:ligatures w14:val="none"/>
        </w:rPr>
        <w:t>ww</w:t>
      </w:r>
      <w:proofErr w:type="spellEnd"/>
      <w:r w:rsidRPr="00BA47B5">
        <w:rPr>
          <w:rFonts w:cs="Arial"/>
          <w:b/>
          <w:kern w:val="0"/>
          <w:sz w:val="24"/>
          <w:szCs w:val="24"/>
          <w:lang w:eastAsia="pl-PL"/>
          <w14:ligatures w14:val="none"/>
        </w:rPr>
        <w:t xml:space="preserve"> wymienioną stawkę?</w:t>
      </w:r>
    </w:p>
    <w:p w14:paraId="11F34DB3" w14:textId="3DF87B75" w:rsidR="00BA47B5" w:rsidRPr="00BA47B5"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664AE3" w:rsidRDefault="00BA47B5" w:rsidP="00664AE3">
      <w:pPr>
        <w:spacing w:line="240" w:lineRule="auto"/>
        <w:ind w:left="709"/>
        <w:rPr>
          <w:rFonts w:cs="Arial"/>
          <w:b/>
          <w:kern w:val="0"/>
          <w:sz w:val="24"/>
          <w:szCs w:val="24"/>
          <w:lang w:eastAsia="pl-PL"/>
          <w14:ligatures w14:val="none"/>
        </w:rPr>
      </w:pPr>
      <w:r w:rsidRPr="00BA47B5">
        <w:rPr>
          <w:rFonts w:cs="Arial"/>
          <w:b/>
          <w:kern w:val="0"/>
          <w:sz w:val="24"/>
          <w:szCs w:val="24"/>
          <w:lang w:eastAsia="pl-PL"/>
          <w14:ligatures w14:val="none"/>
        </w:rPr>
        <w:t>Odp. ION:</w:t>
      </w:r>
      <w:r w:rsidR="00664AE3">
        <w:rPr>
          <w:rFonts w:cs="Arial"/>
          <w:b/>
          <w:kern w:val="0"/>
          <w:sz w:val="24"/>
          <w:szCs w:val="24"/>
          <w:lang w:eastAsia="pl-PL"/>
          <w14:ligatures w14:val="none"/>
        </w:rPr>
        <w:t xml:space="preserve"> </w:t>
      </w:r>
      <w:r w:rsidRPr="00BA47B5">
        <w:rPr>
          <w:rFonts w:cs="Arial"/>
          <w:kern w:val="0"/>
          <w:sz w:val="24"/>
          <w:szCs w:val="24"/>
          <w:lang w:eastAsia="pl-PL"/>
          <w14:ligatures w14:val="none"/>
        </w:rPr>
        <w:t xml:space="preserve">Stypendium szkoleniowe w wysokości 120% zasiłku, o którym mowa w  art. 72 ust. 1 pkt 1 ustawy </w:t>
      </w:r>
      <w:r w:rsidRPr="00BA47B5">
        <w:rPr>
          <w:rFonts w:cs="Arial"/>
          <w:i/>
          <w:iCs/>
          <w:kern w:val="0"/>
          <w:sz w:val="24"/>
          <w:szCs w:val="24"/>
          <w:lang w:eastAsia="pl-PL"/>
          <w14:ligatures w14:val="none"/>
        </w:rPr>
        <w:t>o promocji zatrudnienia i instytucjach rynku pracy</w:t>
      </w:r>
      <w:r w:rsidRPr="00BA47B5">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77777777" w:rsidR="00BA47B5" w:rsidRPr="00BA47B5" w:rsidRDefault="00BA47B5" w:rsidP="00BA47B5">
      <w:pPr>
        <w:spacing w:line="240" w:lineRule="auto"/>
        <w:ind w:left="709" w:hanging="425"/>
        <w:rPr>
          <w:rFonts w:cs="Arial"/>
          <w:b/>
          <w:kern w:val="0"/>
          <w:sz w:val="24"/>
          <w:szCs w:val="24"/>
          <w:lang w:eastAsia="pl-PL"/>
          <w14:ligatures w14:val="none"/>
        </w:rPr>
      </w:pPr>
    </w:p>
    <w:p w14:paraId="5B38DCCD" w14:textId="77777777" w:rsidR="00BA47B5" w:rsidRPr="00BA47B5" w:rsidRDefault="00BA47B5" w:rsidP="00BA47B5">
      <w:pPr>
        <w:spacing w:line="240" w:lineRule="auto"/>
        <w:ind w:left="709" w:hanging="283"/>
        <w:rPr>
          <w:rFonts w:cs="Arial"/>
          <w:b/>
          <w:sz w:val="24"/>
          <w:szCs w:val="24"/>
        </w:rPr>
      </w:pPr>
      <w:r w:rsidRPr="00BA47B5">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Default="00BA47B5" w:rsidP="00513450">
      <w:pPr>
        <w:spacing w:line="240" w:lineRule="auto"/>
        <w:rPr>
          <w:rFonts w:cs="Arial"/>
          <w:b/>
          <w:sz w:val="24"/>
          <w:szCs w:val="24"/>
        </w:rPr>
      </w:pPr>
    </w:p>
    <w:p w14:paraId="6F55ED9F" w14:textId="01307B66"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Default="00BA47B5" w:rsidP="00BA47B5">
      <w:pPr>
        <w:spacing w:line="240" w:lineRule="auto"/>
        <w:rPr>
          <w:rFonts w:cs="Arial"/>
        </w:rPr>
      </w:pPr>
    </w:p>
    <w:p w14:paraId="306A9E20" w14:textId="77777777" w:rsidR="00BA47B5" w:rsidRPr="00BA47B5" w:rsidRDefault="00BA47B5" w:rsidP="00BA47B5">
      <w:pPr>
        <w:spacing w:line="240" w:lineRule="auto"/>
        <w:rPr>
          <w:rFonts w:cs="Arial"/>
        </w:rPr>
      </w:pPr>
    </w:p>
    <w:p w14:paraId="6DB303EB" w14:textId="3214CA26" w:rsidR="00BA47B5" w:rsidRPr="00BA47B5" w:rsidRDefault="00BA47B5" w:rsidP="00BA47B5">
      <w:pPr>
        <w:spacing w:line="240" w:lineRule="auto"/>
        <w:ind w:left="709" w:hanging="283"/>
        <w:rPr>
          <w:rFonts w:cs="Arial"/>
          <w:b/>
          <w:sz w:val="24"/>
          <w:szCs w:val="24"/>
        </w:rPr>
      </w:pPr>
      <w:r w:rsidRPr="00BA47B5">
        <w:rPr>
          <w:rFonts w:cs="Arial"/>
          <w:b/>
          <w:sz w:val="24"/>
          <w:szCs w:val="24"/>
        </w:rPr>
        <w:t xml:space="preserve">9. Kiedy przewidują Państwo rozstrzygnięcie konkursu? Kiedy najlepiej zaplanować rozpoczęcie realizacji Projektu. </w:t>
      </w:r>
    </w:p>
    <w:p w14:paraId="66F71A51" w14:textId="65D95B1E" w:rsidR="00BA47B5" w:rsidRPr="00BA47B5" w:rsidRDefault="00BA47B5" w:rsidP="00BA47B5">
      <w:pPr>
        <w:spacing w:line="240" w:lineRule="auto"/>
        <w:rPr>
          <w:rFonts w:cs="Arial"/>
          <w:b/>
          <w:sz w:val="24"/>
          <w:szCs w:val="24"/>
        </w:rPr>
      </w:pPr>
    </w:p>
    <w:p w14:paraId="2E69C6C6" w14:textId="594C9A16" w:rsidR="00BA47B5" w:rsidRPr="00BA47B5"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rozdziałem 11 pkt 2 </w:t>
      </w:r>
      <w:r w:rsidRPr="00BA47B5">
        <w:rPr>
          <w:rFonts w:cs="Arial"/>
          <w:i/>
          <w:iCs/>
          <w:sz w:val="24"/>
          <w:szCs w:val="24"/>
        </w:rPr>
        <w:t>Regulaminu naboru</w:t>
      </w:r>
      <w:r w:rsidRPr="00BA47B5">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BA47B5" w:rsidRDefault="00BA47B5" w:rsidP="00664AE3">
      <w:pPr>
        <w:spacing w:line="240" w:lineRule="auto"/>
        <w:ind w:left="709"/>
        <w:rPr>
          <w:rFonts w:cs="Arial"/>
          <w:sz w:val="24"/>
          <w:szCs w:val="24"/>
        </w:rPr>
      </w:pPr>
      <w:r w:rsidRPr="00BA47B5">
        <w:rPr>
          <w:rFonts w:cs="Arial"/>
          <w:sz w:val="24"/>
          <w:szCs w:val="24"/>
        </w:rPr>
        <w:lastRenderedPageBreak/>
        <w:t>Biorąc powyższe pod uwagę wnioskodawca może planować rozpoczęcie realizacji projektu na IV kwartał 2024 r., nie później jednak niż 1 stycznia 2025 r. (zgodnie z kryterium dostępu nr 8).</w:t>
      </w:r>
    </w:p>
    <w:p w14:paraId="1FF85E41" w14:textId="09ACDBDF" w:rsidR="00BA47B5" w:rsidRDefault="00BA47B5" w:rsidP="00BA47B5">
      <w:pPr>
        <w:spacing w:line="240" w:lineRule="auto"/>
        <w:rPr>
          <w:rFonts w:cs="Arial"/>
        </w:rPr>
      </w:pPr>
    </w:p>
    <w:p w14:paraId="477BBA13" w14:textId="77777777" w:rsidR="00513450" w:rsidRDefault="00513450" w:rsidP="00BA47B5">
      <w:pPr>
        <w:spacing w:line="240" w:lineRule="auto"/>
        <w:rPr>
          <w:rFonts w:cs="Arial"/>
        </w:rPr>
      </w:pPr>
    </w:p>
    <w:p w14:paraId="09FCFDC8" w14:textId="1A8749B7" w:rsidR="00BA47B5" w:rsidRPr="00BA47B5" w:rsidRDefault="00BA47B5" w:rsidP="008A6444">
      <w:pPr>
        <w:spacing w:line="240" w:lineRule="auto"/>
        <w:ind w:left="709" w:hanging="283"/>
        <w:rPr>
          <w:rFonts w:cs="Arial"/>
          <w:b/>
          <w:sz w:val="24"/>
          <w:szCs w:val="24"/>
        </w:rPr>
      </w:pPr>
      <w:r w:rsidRPr="00BA47B5">
        <w:rPr>
          <w:rFonts w:cs="Arial"/>
          <w:b/>
          <w:sz w:val="24"/>
          <w:szCs w:val="24"/>
        </w:rPr>
        <w:t>10. Czy skoro Grupą docelową są osoby pracujące, to czy powinno się odprowadzać dla nich składki ZUS od stypendium szkoleniowego?</w:t>
      </w:r>
    </w:p>
    <w:p w14:paraId="2EF95CDF" w14:textId="4D94F073" w:rsidR="00BA47B5" w:rsidRPr="00BA47B5" w:rsidRDefault="00BA47B5" w:rsidP="00BA47B5">
      <w:pPr>
        <w:spacing w:line="240" w:lineRule="auto"/>
        <w:rPr>
          <w:rFonts w:cs="Arial"/>
          <w:b/>
          <w:sz w:val="24"/>
          <w:szCs w:val="24"/>
        </w:rPr>
      </w:pPr>
    </w:p>
    <w:p w14:paraId="625B6501" w14:textId="6BE943BA"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Podrozdziałem 3.3 </w:t>
      </w:r>
      <w:r w:rsidRPr="00BA47B5">
        <w:rPr>
          <w:rFonts w:cs="Arial"/>
          <w:i/>
          <w:iCs/>
          <w:sz w:val="24"/>
          <w:szCs w:val="24"/>
        </w:rPr>
        <w:t>Zasady realizacji wsparcia</w:t>
      </w:r>
      <w:r w:rsidRPr="00BA47B5">
        <w:rPr>
          <w:rFonts w:cs="Arial"/>
          <w:sz w:val="24"/>
          <w:szCs w:val="24"/>
        </w:rPr>
        <w:t xml:space="preserve"> Regulaminu naboru, uczestnicy projektu podlegają ubezpieczeniom społecznym i ubezpieczeniu zdrowotnemu, </w:t>
      </w:r>
      <w:r w:rsidRPr="00BA47B5">
        <w:rPr>
          <w:rFonts w:cs="Arial"/>
          <w:sz w:val="24"/>
          <w:szCs w:val="24"/>
          <w:u w:val="single"/>
        </w:rPr>
        <w:t xml:space="preserve">jeżeli nie posiadają innych tytułów do ubezpieczenia </w:t>
      </w:r>
      <w:r w:rsidRPr="00BA47B5">
        <w:rPr>
          <w:rFonts w:cs="Arial"/>
          <w:sz w:val="24"/>
          <w:szCs w:val="24"/>
        </w:rPr>
        <w:t>zgodnie z powszechnie obowiązującymi przepisami prawa.</w:t>
      </w:r>
      <w:r w:rsidR="00664AE3">
        <w:rPr>
          <w:rFonts w:cs="Arial"/>
          <w:b/>
          <w:sz w:val="24"/>
          <w:szCs w:val="24"/>
        </w:rPr>
        <w:t xml:space="preserve"> </w:t>
      </w:r>
      <w:r w:rsidRPr="00BA47B5">
        <w:rPr>
          <w:rFonts w:cs="Arial"/>
          <w:sz w:val="24"/>
          <w:szCs w:val="24"/>
        </w:rPr>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Default="00BA47B5" w:rsidP="00BA47B5">
      <w:pPr>
        <w:spacing w:line="240" w:lineRule="auto"/>
        <w:rPr>
          <w:rFonts w:cs="Arial"/>
        </w:rPr>
      </w:pPr>
    </w:p>
    <w:p w14:paraId="04D4622C" w14:textId="62C6E6A8" w:rsidR="00BA47B5" w:rsidRDefault="00BA47B5" w:rsidP="00BA47B5">
      <w:pPr>
        <w:spacing w:line="240" w:lineRule="auto"/>
        <w:rPr>
          <w:rFonts w:cs="Arial"/>
        </w:rPr>
      </w:pPr>
    </w:p>
    <w:p w14:paraId="045AEA27" w14:textId="22629B16" w:rsidR="00BA47B5" w:rsidRPr="00BA47B5" w:rsidRDefault="00BA47B5" w:rsidP="008A6444">
      <w:pPr>
        <w:spacing w:line="240" w:lineRule="auto"/>
        <w:ind w:left="709" w:hanging="283"/>
        <w:rPr>
          <w:rFonts w:cs="Arial"/>
          <w:b/>
          <w:sz w:val="24"/>
          <w:szCs w:val="24"/>
        </w:rPr>
      </w:pPr>
      <w:r w:rsidRPr="00BA47B5">
        <w:rPr>
          <w:rFonts w:cs="Arial"/>
          <w:b/>
          <w:sz w:val="24"/>
          <w:szCs w:val="24"/>
        </w:rPr>
        <w:t>11. Czy istnieje taka grupa osób w Grupie docelowej dla której powinno się takie składki zabezpieczyć w budżecie?</w:t>
      </w:r>
    </w:p>
    <w:p w14:paraId="3BE46552" w14:textId="77777777" w:rsidR="00BA47B5" w:rsidRPr="00BA47B5" w:rsidRDefault="00BA47B5" w:rsidP="00BA47B5">
      <w:pPr>
        <w:spacing w:line="240" w:lineRule="auto"/>
        <w:rPr>
          <w:rFonts w:cs="Arial"/>
          <w:b/>
          <w:sz w:val="24"/>
          <w:szCs w:val="24"/>
        </w:rPr>
      </w:pPr>
    </w:p>
    <w:p w14:paraId="0CF12114" w14:textId="7E35CACB"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778C4826" w:rsidR="00BA47B5" w:rsidRPr="00BA47B5" w:rsidRDefault="00BA47B5" w:rsidP="00585282">
      <w:pPr>
        <w:spacing w:line="240" w:lineRule="auto"/>
        <w:rPr>
          <w:rFonts w:cs="Arial"/>
          <w:sz w:val="24"/>
          <w:szCs w:val="24"/>
        </w:rPr>
      </w:pPr>
    </w:p>
    <w:p w14:paraId="4360FE35" w14:textId="56C8B6CA" w:rsidR="00BA47B5" w:rsidRPr="00BA47B5" w:rsidRDefault="00BA47B5" w:rsidP="008A6444">
      <w:pPr>
        <w:spacing w:line="240" w:lineRule="auto"/>
        <w:ind w:left="709" w:hanging="425"/>
        <w:rPr>
          <w:rFonts w:cs="Arial"/>
          <w:b/>
          <w:sz w:val="24"/>
          <w:szCs w:val="24"/>
        </w:rPr>
      </w:pPr>
      <w:r w:rsidRPr="00BA47B5">
        <w:rPr>
          <w:rFonts w:cs="Arial"/>
          <w:b/>
          <w:sz w:val="24"/>
          <w:szCs w:val="24"/>
        </w:rPr>
        <w:t>1</w:t>
      </w:r>
      <w:r>
        <w:rPr>
          <w:rFonts w:cs="Arial"/>
          <w:b/>
          <w:sz w:val="24"/>
          <w:szCs w:val="24"/>
        </w:rPr>
        <w:t>2</w:t>
      </w:r>
      <w:r w:rsidRPr="00BA47B5">
        <w:rPr>
          <w:rFonts w:cs="Arial"/>
          <w:b/>
          <w:sz w:val="24"/>
          <w:szCs w:val="24"/>
        </w:rPr>
        <w:t xml:space="preserve">. </w:t>
      </w:r>
      <w:r w:rsidRPr="00BA47B5">
        <w:rPr>
          <w:rFonts w:cs="Arial"/>
          <w:b/>
          <w:sz w:val="24"/>
          <w:szCs w:val="24"/>
        </w:rPr>
        <w:t xml:space="preserve">GUS w styczniu 2024 roku podał średnioroczny wskaźnik cen towarów i usług konsumpcyjnych ogółem w 2023 roku, który wyniósł 11,4 proc. rok do roku, a </w:t>
      </w:r>
      <w:proofErr w:type="spellStart"/>
      <w:r w:rsidRPr="00BA47B5">
        <w:rPr>
          <w:rFonts w:cs="Arial"/>
          <w:b/>
          <w:sz w:val="24"/>
          <w:szCs w:val="24"/>
        </w:rPr>
        <w:t>ozn</w:t>
      </w:r>
      <w:proofErr w:type="spellEnd"/>
      <w:r w:rsidRPr="00BA47B5">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BA47B5" w:rsidRDefault="00BA47B5" w:rsidP="00BA47B5">
      <w:pPr>
        <w:spacing w:line="240" w:lineRule="auto"/>
        <w:rPr>
          <w:rFonts w:cs="Arial"/>
          <w:b/>
          <w:sz w:val="24"/>
          <w:szCs w:val="24"/>
        </w:rPr>
      </w:pPr>
    </w:p>
    <w:p w14:paraId="4142DAD8" w14:textId="7285606E" w:rsidR="006F3988" w:rsidRPr="006F3988"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006F3988" w:rsidRPr="006F3988">
        <w:rPr>
          <w:rFonts w:eastAsia="Times New Roman" w:cs="Arial"/>
          <w:sz w:val="24"/>
          <w:szCs w:val="24"/>
          <w:lang w:eastAsia="pl-PL"/>
        </w:rPr>
        <w:t xml:space="preserve">Nie ma przeciwskazań do tego, żeby w przypadku stypendiów w budżecie projektu </w:t>
      </w:r>
      <w:r w:rsidR="006F3988" w:rsidRPr="006F3988">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Default="006F3988" w:rsidP="006F3988">
      <w:pPr>
        <w:spacing w:line="240" w:lineRule="auto"/>
        <w:rPr>
          <w:rFonts w:cs="Arial"/>
          <w:b/>
        </w:rPr>
      </w:pPr>
    </w:p>
    <w:p w14:paraId="1FC9F28C" w14:textId="77777777" w:rsidR="006F3988" w:rsidRDefault="006F3988" w:rsidP="006F3988">
      <w:pPr>
        <w:spacing w:line="240" w:lineRule="auto"/>
        <w:rPr>
          <w:rFonts w:cs="Arial"/>
          <w:b/>
        </w:rPr>
      </w:pPr>
    </w:p>
    <w:p w14:paraId="4A83F2B3" w14:textId="5AE66D57" w:rsidR="006F3988" w:rsidRPr="00585282" w:rsidRDefault="006F3988" w:rsidP="00585282">
      <w:pPr>
        <w:spacing w:line="240" w:lineRule="auto"/>
        <w:ind w:left="709" w:hanging="425"/>
        <w:rPr>
          <w:rFonts w:cs="Arial"/>
          <w:b/>
          <w:sz w:val="24"/>
          <w:szCs w:val="24"/>
        </w:rPr>
      </w:pPr>
      <w:r w:rsidRPr="00585282">
        <w:rPr>
          <w:rFonts w:cs="Arial"/>
          <w:b/>
          <w:sz w:val="24"/>
          <w:szCs w:val="24"/>
        </w:rPr>
        <w:t xml:space="preserve">13. </w:t>
      </w:r>
      <w:r w:rsidR="00585282" w:rsidRPr="00585282">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585282" w:rsidRDefault="006F3988" w:rsidP="006F3988">
      <w:pPr>
        <w:spacing w:line="240" w:lineRule="auto"/>
        <w:rPr>
          <w:rFonts w:cs="Arial"/>
          <w:b/>
          <w:sz w:val="24"/>
          <w:szCs w:val="24"/>
        </w:rPr>
      </w:pPr>
    </w:p>
    <w:p w14:paraId="7A68EB08" w14:textId="0A5F5A78" w:rsidR="00585282" w:rsidRPr="00664AE3" w:rsidRDefault="006F3988" w:rsidP="00664AE3">
      <w:pPr>
        <w:spacing w:line="240" w:lineRule="auto"/>
        <w:ind w:left="709"/>
        <w:rPr>
          <w:rFonts w:cs="Arial"/>
          <w:b/>
          <w:sz w:val="24"/>
          <w:szCs w:val="24"/>
        </w:rPr>
      </w:pPr>
      <w:r w:rsidRPr="00585282">
        <w:rPr>
          <w:rFonts w:cs="Arial"/>
          <w:b/>
          <w:sz w:val="24"/>
          <w:szCs w:val="24"/>
        </w:rPr>
        <w:t>Odp. ION:</w:t>
      </w:r>
      <w:r w:rsidR="00664AE3">
        <w:rPr>
          <w:rFonts w:cs="Arial"/>
          <w:b/>
          <w:sz w:val="24"/>
          <w:szCs w:val="24"/>
        </w:rPr>
        <w:t xml:space="preserve"> </w:t>
      </w:r>
      <w:r w:rsidR="00585282" w:rsidRPr="00585282">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77777777" w:rsidR="00BA47B5" w:rsidRPr="00D25CE2" w:rsidRDefault="00BA47B5" w:rsidP="00BA47B5">
      <w:pPr>
        <w:spacing w:line="240" w:lineRule="auto"/>
        <w:rPr>
          <w:rFonts w:cs="Arial"/>
        </w:rPr>
      </w:pPr>
    </w:p>
    <w:sectPr w:rsidR="00BA47B5" w:rsidRPr="00D25CE2"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77E7" w14:textId="77777777" w:rsidR="00AD6522" w:rsidRDefault="00AD6522" w:rsidP="00D669B9">
      <w:pPr>
        <w:spacing w:line="240" w:lineRule="auto"/>
      </w:pPr>
      <w:r>
        <w:separator/>
      </w:r>
    </w:p>
  </w:endnote>
  <w:endnote w:type="continuationSeparator" w:id="0">
    <w:p w14:paraId="1549FF9B" w14:textId="77777777" w:rsidR="00AD6522" w:rsidRDefault="00AD6522"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DAC6" w14:textId="77777777" w:rsidR="00AD6522" w:rsidRDefault="00AD6522" w:rsidP="00D669B9">
      <w:pPr>
        <w:spacing w:line="240" w:lineRule="auto"/>
      </w:pPr>
      <w:r>
        <w:separator/>
      </w:r>
    </w:p>
  </w:footnote>
  <w:footnote w:type="continuationSeparator" w:id="0">
    <w:p w14:paraId="021BD118" w14:textId="77777777" w:rsidR="00AD6522" w:rsidRDefault="00AD6522"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7"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17"/>
  </w:num>
  <w:num w:numId="8">
    <w:abstractNumId w:val="16"/>
  </w:num>
  <w:num w:numId="9">
    <w:abstractNumId w:val="8"/>
  </w:num>
  <w:num w:numId="10">
    <w:abstractNumId w:val="13"/>
  </w:num>
  <w:num w:numId="11">
    <w:abstractNumId w:val="12"/>
  </w:num>
  <w:num w:numId="12">
    <w:abstractNumId w:val="4"/>
  </w:num>
  <w:num w:numId="13">
    <w:abstractNumId w:val="1"/>
  </w:num>
  <w:num w:numId="14">
    <w:abstractNumId w:val="14"/>
  </w:num>
  <w:num w:numId="15">
    <w:abstractNumId w:val="9"/>
  </w:num>
  <w:num w:numId="16">
    <w:abstractNumId w:val="7"/>
  </w:num>
  <w:num w:numId="17">
    <w:abstractNumId w:val="2"/>
  </w:num>
  <w:num w:numId="18">
    <w:abstractNumId w:val="15"/>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A3176"/>
    <w:rsid w:val="000C5212"/>
    <w:rsid w:val="00122D57"/>
    <w:rsid w:val="001302D1"/>
    <w:rsid w:val="00140F5E"/>
    <w:rsid w:val="001F135F"/>
    <w:rsid w:val="001F158F"/>
    <w:rsid w:val="0022729A"/>
    <w:rsid w:val="00246ECD"/>
    <w:rsid w:val="00281414"/>
    <w:rsid w:val="00365E97"/>
    <w:rsid w:val="0038386C"/>
    <w:rsid w:val="00404BA5"/>
    <w:rsid w:val="00427D44"/>
    <w:rsid w:val="0044762F"/>
    <w:rsid w:val="004637C8"/>
    <w:rsid w:val="004B5027"/>
    <w:rsid w:val="004C03AA"/>
    <w:rsid w:val="004C6821"/>
    <w:rsid w:val="004D0FA4"/>
    <w:rsid w:val="004F1D99"/>
    <w:rsid w:val="00507C3D"/>
    <w:rsid w:val="00513450"/>
    <w:rsid w:val="00570FAF"/>
    <w:rsid w:val="005841BC"/>
    <w:rsid w:val="00585282"/>
    <w:rsid w:val="00614731"/>
    <w:rsid w:val="006413A5"/>
    <w:rsid w:val="00664AE3"/>
    <w:rsid w:val="006B03E3"/>
    <w:rsid w:val="006B736A"/>
    <w:rsid w:val="006D54FC"/>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47C1"/>
    <w:rsid w:val="008E4BB2"/>
    <w:rsid w:val="008F652D"/>
    <w:rsid w:val="00924EB8"/>
    <w:rsid w:val="00964221"/>
    <w:rsid w:val="00965CFD"/>
    <w:rsid w:val="009876D8"/>
    <w:rsid w:val="009F5E74"/>
    <w:rsid w:val="00A021C6"/>
    <w:rsid w:val="00A77957"/>
    <w:rsid w:val="00A87503"/>
    <w:rsid w:val="00AB4A2A"/>
    <w:rsid w:val="00AD6522"/>
    <w:rsid w:val="00B271F8"/>
    <w:rsid w:val="00B8547F"/>
    <w:rsid w:val="00BA47B5"/>
    <w:rsid w:val="00C11DB2"/>
    <w:rsid w:val="00C30703"/>
    <w:rsid w:val="00C41E37"/>
    <w:rsid w:val="00C928D9"/>
    <w:rsid w:val="00CD309E"/>
    <w:rsid w:val="00CE45C9"/>
    <w:rsid w:val="00CF0B1D"/>
    <w:rsid w:val="00D006F8"/>
    <w:rsid w:val="00D05119"/>
    <w:rsid w:val="00D14C12"/>
    <w:rsid w:val="00D25CE2"/>
    <w:rsid w:val="00D26140"/>
    <w:rsid w:val="00D6169E"/>
    <w:rsid w:val="00D669B9"/>
    <w:rsid w:val="00D97470"/>
    <w:rsid w:val="00DD5B5C"/>
    <w:rsid w:val="00E436EE"/>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4F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2419</Words>
  <Characters>14516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21</cp:revision>
  <cp:lastPrinted>2023-08-24T10:53:00Z</cp:lastPrinted>
  <dcterms:created xsi:type="dcterms:W3CDTF">2024-02-27T09:00:00Z</dcterms:created>
  <dcterms:modified xsi:type="dcterms:W3CDTF">2024-03-08T09:44:00Z</dcterms:modified>
</cp:coreProperties>
</file>