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4FED" w14:textId="77777777" w:rsidR="002B3134" w:rsidRDefault="002B3134" w:rsidP="00362B3F">
      <w:pPr>
        <w:jc w:val="center"/>
        <w:rPr>
          <w:b/>
          <w:i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0CFBA" w14:textId="661BF416" w:rsidR="00842640" w:rsidRPr="00E31849" w:rsidRDefault="00842640" w:rsidP="00362B3F">
      <w:pPr>
        <w:jc w:val="center"/>
        <w:rPr>
          <w:b/>
          <w:i/>
          <w:color w:val="1F4E79" w:themeColor="accent1" w:themeShade="80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849">
        <w:rPr>
          <w:b/>
          <w:i/>
          <w:color w:val="1F4E79" w:themeColor="accent1" w:themeShade="80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Informacja </w:t>
      </w:r>
      <w:r w:rsidR="00362B3F" w:rsidRPr="00E31849">
        <w:rPr>
          <w:b/>
          <w:i/>
          <w:color w:val="1F4E79" w:themeColor="accent1" w:themeShade="80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31849">
        <w:rPr>
          <w:b/>
          <w:i/>
          <w:color w:val="1F4E79" w:themeColor="accent1" w:themeShade="80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zatrudnieniu cudzoziemców w Polsce</w:t>
      </w:r>
    </w:p>
    <w:p w14:paraId="596FD0CC" w14:textId="31AA1606" w:rsidR="00E31849" w:rsidRDefault="00E31849" w:rsidP="00362B3F">
      <w:pPr>
        <w:jc w:val="center"/>
        <w:rPr>
          <w:b/>
          <w:i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BBDF1" w14:textId="7452B79D" w:rsidR="00E31849" w:rsidRDefault="00E31849" w:rsidP="00362B3F">
      <w:pPr>
        <w:jc w:val="center"/>
        <w:rPr>
          <w:b/>
          <w:i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5B05E9" w14:textId="4ECDF043" w:rsidR="00E31849" w:rsidRPr="000626F2" w:rsidRDefault="00E31849" w:rsidP="00362B3F">
      <w:pPr>
        <w:jc w:val="center"/>
        <w:rPr>
          <w:b/>
          <w:color w:val="3B3838" w:themeColor="background2" w:themeShade="4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26F2">
        <w:rPr>
          <w:b/>
          <w:color w:val="3B3838" w:themeColor="background2" w:themeShade="4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Ministerstwo Rozwoju, Pracy i Technologii</w:t>
      </w:r>
    </w:p>
    <w:p w14:paraId="4D870C76" w14:textId="7D1CE6BC" w:rsidR="00E31849" w:rsidRPr="00E31849" w:rsidRDefault="00E31849" w:rsidP="00362B3F">
      <w:pPr>
        <w:jc w:val="center"/>
        <w:rPr>
          <w:b/>
          <w:i/>
          <w:color w:val="3B3838" w:themeColor="background2" w:themeShade="4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849">
        <w:rPr>
          <w:b/>
          <w:i/>
          <w:color w:val="3B3838" w:themeColor="background2" w:themeShade="4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Departament Rynku Pracy</w:t>
      </w:r>
    </w:p>
    <w:p w14:paraId="09ED9C6A" w14:textId="7B9648B9" w:rsidR="00E31849" w:rsidRDefault="00E31849" w:rsidP="00362B3F">
      <w:pPr>
        <w:jc w:val="center"/>
        <w:rPr>
          <w:b/>
          <w:i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0E694" w14:textId="394AA1E5" w:rsidR="00E31849" w:rsidRDefault="00E31849" w:rsidP="00362B3F">
      <w:pPr>
        <w:jc w:val="center"/>
        <w:rPr>
          <w:b/>
          <w:i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3197C4" w14:textId="2C9848A5" w:rsidR="00E31849" w:rsidRDefault="00E31849" w:rsidP="00362B3F">
      <w:pPr>
        <w:jc w:val="center"/>
        <w:rPr>
          <w:b/>
          <w:i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27A0F4" w14:textId="3056A7A1" w:rsidR="00E31849" w:rsidRDefault="00E31849" w:rsidP="00362B3F">
      <w:pPr>
        <w:jc w:val="center"/>
        <w:rPr>
          <w:b/>
          <w:i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69900D" w14:textId="77C7FDEA" w:rsidR="00E31849" w:rsidRDefault="00E31849" w:rsidP="00362B3F">
      <w:pPr>
        <w:jc w:val="center"/>
        <w:rPr>
          <w:b/>
          <w:i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64E6E1" w14:textId="0FFA1CBC" w:rsidR="00E31849" w:rsidRDefault="00E31849" w:rsidP="00362B3F">
      <w:pPr>
        <w:jc w:val="center"/>
        <w:rPr>
          <w:b/>
          <w:i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D075B" w14:textId="1F7FE43C" w:rsidR="00E31849" w:rsidRDefault="00E31849" w:rsidP="00362B3F">
      <w:pPr>
        <w:jc w:val="center"/>
        <w:rPr>
          <w:b/>
          <w:i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6391CA" w14:textId="761F6AEF" w:rsidR="00E31849" w:rsidRPr="00E31849" w:rsidRDefault="00E31849" w:rsidP="00362B3F">
      <w:pPr>
        <w:jc w:val="center"/>
        <w:rPr>
          <w:b/>
          <w:color w:val="3B3838" w:themeColor="background2" w:themeShade="4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849">
        <w:rPr>
          <w:b/>
          <w:color w:val="3B3838" w:themeColor="background2" w:themeShade="4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Warszawa, luty 202</w:t>
      </w:r>
      <w:r w:rsidR="00303394">
        <w:rPr>
          <w:b/>
          <w:color w:val="3B3838" w:themeColor="background2" w:themeShade="4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bookmarkStart w:id="0" w:name="_GoBack"/>
      <w:bookmarkEnd w:id="0"/>
      <w:r w:rsidRPr="00E31849">
        <w:rPr>
          <w:b/>
          <w:color w:val="3B3838" w:themeColor="background2" w:themeShade="4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11914C52" w14:textId="1AD29B11" w:rsidR="00E31849" w:rsidRDefault="00E3184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F07C508" w14:textId="52737E8F" w:rsidR="003B2719" w:rsidRPr="00E31849" w:rsidRDefault="001D6088" w:rsidP="003B2719">
      <w:pPr>
        <w:pStyle w:val="Akapitzlist"/>
        <w:numPr>
          <w:ilvl w:val="0"/>
          <w:numId w:val="27"/>
        </w:numPr>
        <w:rPr>
          <w:b/>
          <w:color w:val="1F4E79" w:themeColor="accent1" w:themeShade="80"/>
        </w:rPr>
      </w:pPr>
      <w:r w:rsidRPr="00E31849">
        <w:rPr>
          <w:b/>
          <w:color w:val="1F4E79" w:themeColor="accent1" w:themeShade="80"/>
        </w:rPr>
        <w:lastRenderedPageBreak/>
        <w:t>Wstęp</w:t>
      </w:r>
    </w:p>
    <w:p w14:paraId="795EF48D" w14:textId="1F708BCE" w:rsidR="008E739C" w:rsidRDefault="009E0C87" w:rsidP="003B2719">
      <w:pPr>
        <w:jc w:val="both"/>
      </w:pPr>
      <w:r w:rsidRPr="00E4649E">
        <w:rPr>
          <w:rFonts w:cs="Times New Roman"/>
          <w:bCs/>
        </w:rPr>
        <w:t>Od kilku lat Polska jest liderem w Europie pod względem przyjazdów cudzoziemców w celu wykonywania pracy. Potwierdzają to dane Eurostatu, który na podstawie informacji z krajów członkowskich Unii Europejskiej oraz państw EFTA publikuje informacje na temat wydanych pierwszych zezwoleń pobytowych. W</w:t>
      </w:r>
      <w:r w:rsidR="00B86803">
        <w:rPr>
          <w:rFonts w:cs="Times New Roman"/>
          <w:bCs/>
        </w:rPr>
        <w:t>g danych za</w:t>
      </w:r>
      <w:r w:rsidRPr="00E4649E">
        <w:rPr>
          <w:rFonts w:cs="Times New Roman"/>
          <w:bCs/>
        </w:rPr>
        <w:t xml:space="preserve"> 2019 roku w państwach EU+ wydano 3 miliony pierwszych zezwoleń pobytowych i wiz na okres przekraczający 3 miesiące, a najliczniej do Europy przybywali </w:t>
      </w:r>
      <w:r w:rsidR="00244AD3">
        <w:rPr>
          <w:rFonts w:cs="Times New Roman"/>
          <w:bCs/>
        </w:rPr>
        <w:t>obywatele</w:t>
      </w:r>
      <w:r w:rsidRPr="00E4649E">
        <w:rPr>
          <w:rFonts w:cs="Times New Roman"/>
          <w:bCs/>
        </w:rPr>
        <w:t xml:space="preserve"> Ukrainy. Spośród 724 tys. zezwoleń</w:t>
      </w:r>
      <w:r w:rsidR="002E79D4">
        <w:rPr>
          <w:rFonts w:cs="Times New Roman"/>
          <w:bCs/>
        </w:rPr>
        <w:t xml:space="preserve"> pobytowych</w:t>
      </w:r>
      <w:r w:rsidRPr="00E4649E">
        <w:rPr>
          <w:rFonts w:cs="Times New Roman"/>
          <w:bCs/>
        </w:rPr>
        <w:t xml:space="preserve"> jakie wydały władze RP 625 tys. dotyczyło zezwoleń w związku z podjęciem pracy. </w:t>
      </w:r>
      <w:r w:rsidR="00005988" w:rsidRPr="00005988">
        <w:t xml:space="preserve"> </w:t>
      </w:r>
    </w:p>
    <w:p w14:paraId="189D1E26" w14:textId="3BB01189" w:rsidR="00BB5E28" w:rsidRDefault="00005988" w:rsidP="002646E3">
      <w:pPr>
        <w:pStyle w:val="Akapitzlist"/>
        <w:ind w:left="0"/>
        <w:jc w:val="both"/>
        <w:rPr>
          <w:b/>
        </w:rPr>
      </w:pPr>
      <w:r>
        <w:t>Mimo pandemii COVID-19 zapotrzebowanie pracodawców na pracowników z zagranicy pozostało na właściwie nie zmienionym poziomie. Początkowo obserwowano wyjazdy cudzoziemców</w:t>
      </w:r>
      <w:r w:rsidR="007F19DE">
        <w:t>, przede wszystkim z państw sąsiadujących z Polską</w:t>
      </w:r>
      <w:r>
        <w:t xml:space="preserve"> (</w:t>
      </w:r>
      <w:r w:rsidR="007F19DE">
        <w:t xml:space="preserve">np. </w:t>
      </w:r>
      <w:r>
        <w:t xml:space="preserve">według różnych szacunków </w:t>
      </w:r>
      <w:r w:rsidR="007F19DE">
        <w:t xml:space="preserve">w trakcie pierwszej fali pandemii mogło wyjechać </w:t>
      </w:r>
      <w:r>
        <w:t xml:space="preserve">10-12 % </w:t>
      </w:r>
      <w:r w:rsidR="007F19DE">
        <w:t>obywateli Ukrainy</w:t>
      </w:r>
      <w:r>
        <w:t xml:space="preserve">). Natomiast od końca maja 2020 roku </w:t>
      </w:r>
      <w:r w:rsidR="002E79D4">
        <w:t>obserwujemy ponowny wzrost</w:t>
      </w:r>
      <w:r>
        <w:t xml:space="preserve"> popytu na pracę cudzoziemców</w:t>
      </w:r>
      <w:r w:rsidR="002E79D4">
        <w:t xml:space="preserve">, który </w:t>
      </w:r>
      <w:r>
        <w:t>obecnie jest na poziomie porównywalnym sprzed pandemii.</w:t>
      </w:r>
      <w:r w:rsidR="00BB5E28">
        <w:t xml:space="preserve"> </w:t>
      </w:r>
      <w:r w:rsidR="007F19DE">
        <w:rPr>
          <w:rFonts w:cs="Times New Roman"/>
          <w:bCs/>
        </w:rPr>
        <w:t>Zapotrzebowanie na pracę cudzoziemców w Polsce ma charakter strukturalny, stąd zakładamy dalszy wzrost</w:t>
      </w:r>
      <w:r w:rsidR="00BB5E28">
        <w:rPr>
          <w:rFonts w:cs="Times New Roman"/>
          <w:bCs/>
        </w:rPr>
        <w:t xml:space="preserve"> </w:t>
      </w:r>
      <w:r w:rsidR="007F19DE">
        <w:rPr>
          <w:rFonts w:cs="Times New Roman"/>
          <w:bCs/>
        </w:rPr>
        <w:t>napływu cudzoziemców w kolejnych latach.</w:t>
      </w:r>
      <w:r w:rsidR="009E0C87" w:rsidRPr="00E4649E">
        <w:rPr>
          <w:rFonts w:cs="Times New Roman"/>
          <w:bCs/>
        </w:rPr>
        <w:t xml:space="preserve"> </w:t>
      </w:r>
      <w:r w:rsidR="00423EC3">
        <w:rPr>
          <w:rFonts w:cs="Times New Roman"/>
          <w:bCs/>
        </w:rPr>
        <w:t>Zarządzanie migracjami będzie miało istotny wpływ na skalę migracji zarobkowej.</w:t>
      </w:r>
    </w:p>
    <w:p w14:paraId="514598E8" w14:textId="77777777" w:rsidR="00BB5E28" w:rsidRDefault="00BB5E28" w:rsidP="002646E3">
      <w:pPr>
        <w:rPr>
          <w:b/>
        </w:rPr>
      </w:pPr>
    </w:p>
    <w:p w14:paraId="0FF16F8F" w14:textId="23C7AAC7" w:rsidR="00C448A5" w:rsidRPr="00E31849" w:rsidRDefault="009E0C87" w:rsidP="002646E3">
      <w:pPr>
        <w:pStyle w:val="Akapitzlist"/>
        <w:numPr>
          <w:ilvl w:val="0"/>
          <w:numId w:val="27"/>
        </w:numPr>
        <w:rPr>
          <w:b/>
          <w:color w:val="1F4E79" w:themeColor="accent1" w:themeShade="80"/>
        </w:rPr>
      </w:pPr>
      <w:r w:rsidRPr="00E31849">
        <w:rPr>
          <w:b/>
          <w:color w:val="1F4E79" w:themeColor="accent1" w:themeShade="80"/>
        </w:rPr>
        <w:t>Podstaw</w:t>
      </w:r>
      <w:r w:rsidR="000626F2">
        <w:rPr>
          <w:b/>
          <w:color w:val="1F4E79" w:themeColor="accent1" w:themeShade="80"/>
        </w:rPr>
        <w:t>y</w:t>
      </w:r>
      <w:r w:rsidRPr="00E31849">
        <w:rPr>
          <w:b/>
          <w:color w:val="1F4E79" w:themeColor="accent1" w:themeShade="80"/>
        </w:rPr>
        <w:t xml:space="preserve"> prawn</w:t>
      </w:r>
      <w:r w:rsidR="000626F2">
        <w:rPr>
          <w:b/>
          <w:color w:val="1F4E79" w:themeColor="accent1" w:themeShade="80"/>
        </w:rPr>
        <w:t>e</w:t>
      </w:r>
      <w:r w:rsidRPr="00E31849">
        <w:rPr>
          <w:b/>
          <w:color w:val="1F4E79" w:themeColor="accent1" w:themeShade="80"/>
        </w:rPr>
        <w:t xml:space="preserve"> zatrudnienia cudzoziemców</w:t>
      </w:r>
      <w:r w:rsidR="002E79D4" w:rsidRPr="00E31849">
        <w:rPr>
          <w:b/>
          <w:color w:val="1F4E79" w:themeColor="accent1" w:themeShade="80"/>
        </w:rPr>
        <w:t xml:space="preserve"> i informacje nt. źródeł danych</w:t>
      </w:r>
    </w:p>
    <w:p w14:paraId="6524A470" w14:textId="77777777" w:rsidR="00C448A5" w:rsidRPr="00C448A5" w:rsidRDefault="00C448A5" w:rsidP="00C448A5">
      <w:pPr>
        <w:pStyle w:val="Akapitzlist"/>
        <w:ind w:left="360"/>
        <w:jc w:val="both"/>
        <w:rPr>
          <w:b/>
        </w:rPr>
      </w:pPr>
    </w:p>
    <w:p w14:paraId="755B8E65" w14:textId="0071B3AD" w:rsidR="00C448A5" w:rsidRDefault="001D6088" w:rsidP="009559B2">
      <w:pPr>
        <w:pStyle w:val="Akapitzlist"/>
        <w:ind w:left="0"/>
        <w:jc w:val="both"/>
        <w:rPr>
          <w:rFonts w:cs="Times New Roman"/>
          <w:bCs/>
        </w:rPr>
      </w:pPr>
      <w:r w:rsidRPr="00C448A5">
        <w:rPr>
          <w:rFonts w:cs="Courier New"/>
          <w:b/>
          <w:color w:val="000000"/>
          <w:lang w:eastAsia="pl-PL"/>
        </w:rPr>
        <w:t>Podstawą prawną zatrudniania cudzoziemców na terytorium RP</w:t>
      </w:r>
      <w:r w:rsidRPr="00C448A5">
        <w:rPr>
          <w:rFonts w:cs="Courier New"/>
          <w:color w:val="000000"/>
          <w:lang w:eastAsia="pl-PL"/>
        </w:rPr>
        <w:t xml:space="preserve"> </w:t>
      </w:r>
      <w:r w:rsidR="00BE1D6A" w:rsidRPr="00C448A5">
        <w:rPr>
          <w:rFonts w:cs="Courier New"/>
          <w:color w:val="000000"/>
          <w:lang w:eastAsia="pl-PL"/>
        </w:rPr>
        <w:t xml:space="preserve">są </w:t>
      </w:r>
      <w:r w:rsidR="00F71981">
        <w:rPr>
          <w:rFonts w:cs="Courier New"/>
          <w:color w:val="000000"/>
          <w:lang w:eastAsia="pl-PL"/>
        </w:rPr>
        <w:t xml:space="preserve">przede wszystkim </w:t>
      </w:r>
      <w:r w:rsidR="00BE1D6A" w:rsidRPr="00C448A5">
        <w:rPr>
          <w:rFonts w:cs="Courier New"/>
          <w:color w:val="000000"/>
          <w:lang w:eastAsia="pl-PL"/>
        </w:rPr>
        <w:t>następujące akty prawne</w:t>
      </w:r>
      <w:r w:rsidR="002B7FF9" w:rsidRPr="00C448A5">
        <w:rPr>
          <w:rFonts w:cs="Times New Roman"/>
          <w:bCs/>
        </w:rPr>
        <w:t>:</w:t>
      </w:r>
    </w:p>
    <w:p w14:paraId="148382FE" w14:textId="77777777" w:rsidR="00C448A5" w:rsidRPr="00C448A5" w:rsidRDefault="00C448A5" w:rsidP="009559B2">
      <w:pPr>
        <w:pStyle w:val="Akapitzlist"/>
        <w:ind w:left="0"/>
        <w:jc w:val="both"/>
        <w:rPr>
          <w:rFonts w:cs="Times New Roman"/>
          <w:bCs/>
        </w:rPr>
      </w:pPr>
    </w:p>
    <w:p w14:paraId="0E5F0B05" w14:textId="599F8EAE" w:rsidR="00C448A5" w:rsidRPr="00C448A5" w:rsidRDefault="008456B9" w:rsidP="009559B2">
      <w:pPr>
        <w:pStyle w:val="Akapitzlist"/>
        <w:numPr>
          <w:ilvl w:val="2"/>
          <w:numId w:val="15"/>
        </w:numPr>
        <w:jc w:val="both"/>
        <w:rPr>
          <w:rFonts w:cs="Times New Roman"/>
          <w:bCs/>
        </w:rPr>
      </w:pPr>
      <w:r w:rsidRPr="00C448A5">
        <w:rPr>
          <w:rFonts w:cs="Times New Roman"/>
          <w:bCs/>
        </w:rPr>
        <w:t>u</w:t>
      </w:r>
      <w:r w:rsidR="009E0C87" w:rsidRPr="00C448A5">
        <w:rPr>
          <w:rFonts w:cs="Times New Roman"/>
          <w:bCs/>
        </w:rPr>
        <w:t>s</w:t>
      </w:r>
      <w:r w:rsidR="001D6088" w:rsidRPr="00C448A5">
        <w:rPr>
          <w:rFonts w:cs="Times New Roman"/>
          <w:bCs/>
        </w:rPr>
        <w:t>tawa z dnia 20 kwietnia 2004 roku o promocji zatrudnienia i instytucjach rynku pracy</w:t>
      </w:r>
      <w:r w:rsidRPr="00C448A5">
        <w:rPr>
          <w:rFonts w:cs="Times New Roman"/>
          <w:bCs/>
        </w:rPr>
        <w:t xml:space="preserve"> (Dz</w:t>
      </w:r>
      <w:r w:rsidR="00E92B3F" w:rsidRPr="00C448A5">
        <w:rPr>
          <w:rFonts w:cs="Times New Roman"/>
          <w:bCs/>
        </w:rPr>
        <w:t>. U. z 2020 r.</w:t>
      </w:r>
      <w:r w:rsidR="001B7120" w:rsidRPr="00C448A5">
        <w:rPr>
          <w:rFonts w:cs="Times New Roman"/>
          <w:bCs/>
        </w:rPr>
        <w:t>,</w:t>
      </w:r>
      <w:r w:rsidRPr="00C448A5">
        <w:rPr>
          <w:rFonts w:cs="Times New Roman"/>
          <w:bCs/>
        </w:rPr>
        <w:t xml:space="preserve"> poz. 1409</w:t>
      </w:r>
      <w:r w:rsidR="00F71981">
        <w:rPr>
          <w:rFonts w:cs="Times New Roman"/>
          <w:bCs/>
        </w:rPr>
        <w:t xml:space="preserve">, z </w:t>
      </w:r>
      <w:proofErr w:type="spellStart"/>
      <w:r w:rsidR="00F71981">
        <w:rPr>
          <w:rFonts w:cs="Times New Roman"/>
          <w:bCs/>
        </w:rPr>
        <w:t>późn</w:t>
      </w:r>
      <w:proofErr w:type="spellEnd"/>
      <w:r w:rsidR="00F71981">
        <w:rPr>
          <w:rFonts w:cs="Times New Roman"/>
          <w:bCs/>
        </w:rPr>
        <w:t>. zm.</w:t>
      </w:r>
      <w:r w:rsidRPr="00C448A5">
        <w:rPr>
          <w:rFonts w:cs="Times New Roman"/>
          <w:bCs/>
        </w:rPr>
        <w:t>)</w:t>
      </w:r>
    </w:p>
    <w:p w14:paraId="12ABCC99" w14:textId="1C6D99AD" w:rsidR="00C448A5" w:rsidRPr="00C448A5" w:rsidRDefault="001D6088" w:rsidP="009559B2">
      <w:pPr>
        <w:pStyle w:val="Akapitzlist"/>
        <w:numPr>
          <w:ilvl w:val="2"/>
          <w:numId w:val="15"/>
        </w:numPr>
        <w:jc w:val="both"/>
        <w:rPr>
          <w:rFonts w:cs="Times New Roman"/>
          <w:bCs/>
        </w:rPr>
      </w:pPr>
      <w:r w:rsidRPr="00C448A5">
        <w:rPr>
          <w:rFonts w:cs="Times New Roman"/>
          <w:bCs/>
        </w:rPr>
        <w:t>ustawa z dnia 12 grudnia 2013 roku o cudzoziemcach</w:t>
      </w:r>
      <w:r w:rsidR="005D03C7" w:rsidRPr="00C448A5">
        <w:rPr>
          <w:rFonts w:cs="Times New Roman"/>
          <w:bCs/>
        </w:rPr>
        <w:t xml:space="preserve"> (Dz.U. z 2020 r.</w:t>
      </w:r>
      <w:r w:rsidR="001B7120" w:rsidRPr="00C448A5">
        <w:rPr>
          <w:rFonts w:cs="Times New Roman"/>
          <w:bCs/>
        </w:rPr>
        <w:t>,</w:t>
      </w:r>
      <w:r w:rsidR="005D03C7" w:rsidRPr="00C448A5">
        <w:rPr>
          <w:rFonts w:cs="Times New Roman"/>
          <w:bCs/>
        </w:rPr>
        <w:t xml:space="preserve"> poz. 35</w:t>
      </w:r>
      <w:r w:rsidR="00F71981">
        <w:rPr>
          <w:rFonts w:cs="Times New Roman"/>
          <w:bCs/>
        </w:rPr>
        <w:t xml:space="preserve">, z </w:t>
      </w:r>
      <w:proofErr w:type="spellStart"/>
      <w:r w:rsidR="00F71981">
        <w:rPr>
          <w:rFonts w:cs="Times New Roman"/>
          <w:bCs/>
        </w:rPr>
        <w:t>późn</w:t>
      </w:r>
      <w:proofErr w:type="spellEnd"/>
      <w:r w:rsidR="00F71981">
        <w:rPr>
          <w:rFonts w:cs="Times New Roman"/>
          <w:bCs/>
        </w:rPr>
        <w:t>. zm.</w:t>
      </w:r>
      <w:r w:rsidR="005D03C7" w:rsidRPr="00C448A5">
        <w:rPr>
          <w:rFonts w:cs="Times New Roman"/>
          <w:bCs/>
        </w:rPr>
        <w:t>)</w:t>
      </w:r>
    </w:p>
    <w:p w14:paraId="6B1B1324" w14:textId="7666A07F" w:rsidR="008456B9" w:rsidRPr="00C448A5" w:rsidRDefault="005D03C7" w:rsidP="009559B2">
      <w:pPr>
        <w:pStyle w:val="Akapitzlist"/>
        <w:numPr>
          <w:ilvl w:val="2"/>
          <w:numId w:val="15"/>
        </w:numPr>
        <w:jc w:val="both"/>
        <w:rPr>
          <w:rFonts w:cs="Times New Roman"/>
          <w:bCs/>
        </w:rPr>
      </w:pPr>
      <w:r w:rsidRPr="00C448A5">
        <w:rPr>
          <w:rFonts w:cs="Times New Roman"/>
          <w:bCs/>
        </w:rPr>
        <w:t>akty wykonawcze do wskazanych ustaw</w:t>
      </w:r>
      <w:r w:rsidR="001D6088" w:rsidRPr="00C448A5">
        <w:rPr>
          <w:rFonts w:cs="Times New Roman"/>
          <w:bCs/>
        </w:rPr>
        <w:t xml:space="preserve">, </w:t>
      </w:r>
    </w:p>
    <w:p w14:paraId="4B57718C" w14:textId="77777777" w:rsidR="0086562B" w:rsidRDefault="00E714E9" w:rsidP="003B2719">
      <w:pPr>
        <w:jc w:val="both"/>
        <w:rPr>
          <w:rFonts w:cs="Courier New"/>
          <w:color w:val="000000"/>
          <w:lang w:eastAsia="pl-PL"/>
        </w:rPr>
      </w:pPr>
      <w:r w:rsidRPr="008456B9">
        <w:rPr>
          <w:rFonts w:cs="Courier New"/>
          <w:color w:val="000000"/>
          <w:lang w:eastAsia="pl-PL"/>
        </w:rPr>
        <w:t xml:space="preserve">które </w:t>
      </w:r>
      <w:r w:rsidR="001D6088" w:rsidRPr="008456B9">
        <w:rPr>
          <w:rFonts w:cs="Courier New"/>
          <w:color w:val="000000"/>
          <w:lang w:eastAsia="pl-PL"/>
        </w:rPr>
        <w:t>określa</w:t>
      </w:r>
      <w:r w:rsidRPr="008456B9">
        <w:rPr>
          <w:rFonts w:cs="Courier New"/>
          <w:color w:val="000000"/>
          <w:lang w:eastAsia="pl-PL"/>
        </w:rPr>
        <w:t>ją</w:t>
      </w:r>
      <w:r w:rsidR="001D6088" w:rsidRPr="008456B9">
        <w:rPr>
          <w:rFonts w:cs="Courier New"/>
          <w:color w:val="000000"/>
          <w:lang w:eastAsia="pl-PL"/>
        </w:rPr>
        <w:t xml:space="preserve"> </w:t>
      </w:r>
      <w:r w:rsidR="001D6088" w:rsidRPr="008456B9">
        <w:rPr>
          <w:rFonts w:cs="Courier New"/>
          <w:b/>
          <w:color w:val="000000"/>
          <w:lang w:eastAsia="pl-PL"/>
        </w:rPr>
        <w:t xml:space="preserve">warunki konieczne </w:t>
      </w:r>
      <w:r w:rsidR="00616CE4" w:rsidRPr="008456B9">
        <w:rPr>
          <w:rFonts w:cs="Courier New"/>
          <w:b/>
          <w:color w:val="000000"/>
          <w:lang w:eastAsia="pl-PL"/>
        </w:rPr>
        <w:t xml:space="preserve">do </w:t>
      </w:r>
      <w:r w:rsidR="00104CF7" w:rsidRPr="008456B9">
        <w:rPr>
          <w:rFonts w:cs="Courier New"/>
          <w:b/>
          <w:color w:val="000000"/>
          <w:lang w:eastAsia="pl-PL"/>
        </w:rPr>
        <w:t xml:space="preserve">spełnienia w postępowaniu o powierzenie </w:t>
      </w:r>
      <w:r w:rsidR="001D6088" w:rsidRPr="008456B9">
        <w:rPr>
          <w:rFonts w:cs="Courier New"/>
          <w:b/>
          <w:color w:val="000000"/>
          <w:lang w:eastAsia="pl-PL"/>
        </w:rPr>
        <w:t>pracy cudzoziemcowi</w:t>
      </w:r>
      <w:r w:rsidR="00BE1D6A" w:rsidRPr="008456B9">
        <w:rPr>
          <w:rFonts w:cs="Courier New"/>
          <w:b/>
          <w:color w:val="000000"/>
          <w:lang w:eastAsia="pl-PL"/>
        </w:rPr>
        <w:t>,</w:t>
      </w:r>
      <w:r w:rsidR="001D6088" w:rsidRPr="008456B9">
        <w:rPr>
          <w:rFonts w:cs="Courier New"/>
          <w:color w:val="000000"/>
          <w:lang w:eastAsia="pl-PL"/>
        </w:rPr>
        <w:t xml:space="preserve"> czyli uzyskanie </w:t>
      </w:r>
      <w:r w:rsidR="00F71981">
        <w:rPr>
          <w:rFonts w:cs="Courier New"/>
          <w:color w:val="000000"/>
          <w:lang w:eastAsia="pl-PL"/>
        </w:rPr>
        <w:t>dostępu do rynku pracy</w:t>
      </w:r>
      <w:r w:rsidR="001D6088" w:rsidRPr="008456B9">
        <w:rPr>
          <w:rFonts w:cs="Courier New"/>
          <w:color w:val="000000"/>
          <w:lang w:eastAsia="pl-PL"/>
        </w:rPr>
        <w:t xml:space="preserve"> (</w:t>
      </w:r>
      <w:r w:rsidR="00F71981">
        <w:rPr>
          <w:rFonts w:cs="Courier New"/>
          <w:color w:val="000000"/>
          <w:lang w:eastAsia="pl-PL"/>
        </w:rPr>
        <w:t xml:space="preserve">np. zezwolenia na pracę, zezwolenia na </w:t>
      </w:r>
      <w:r w:rsidR="001D6088" w:rsidRPr="008456B9">
        <w:rPr>
          <w:rFonts w:cs="Courier New"/>
          <w:color w:val="000000"/>
          <w:lang w:eastAsia="pl-PL"/>
        </w:rPr>
        <w:t>pracę sezonową, pracę na podstawie oświadczenia</w:t>
      </w:r>
      <w:r w:rsidR="00F71981">
        <w:rPr>
          <w:rFonts w:cs="Courier New"/>
          <w:color w:val="000000"/>
          <w:lang w:eastAsia="pl-PL"/>
        </w:rPr>
        <w:t xml:space="preserve"> czy tytułu do zwolnienia z konieczności uzyskania zezwolenia</w:t>
      </w:r>
      <w:r w:rsidR="001D6088" w:rsidRPr="008456B9">
        <w:rPr>
          <w:rFonts w:cs="Courier New"/>
          <w:color w:val="000000"/>
          <w:lang w:eastAsia="pl-PL"/>
        </w:rPr>
        <w:t>) oraz</w:t>
      </w:r>
      <w:r w:rsidR="001D6088" w:rsidRPr="008456B9">
        <w:rPr>
          <w:rFonts w:cs="Courier New"/>
          <w:b/>
          <w:color w:val="000000"/>
          <w:lang w:eastAsia="pl-PL"/>
        </w:rPr>
        <w:t xml:space="preserve"> </w:t>
      </w:r>
      <w:r w:rsidR="00F71981">
        <w:rPr>
          <w:rFonts w:cs="Courier New"/>
          <w:color w:val="000000"/>
          <w:lang w:eastAsia="pl-PL"/>
        </w:rPr>
        <w:t>tytułu pobytowego (zezwolenie na pobyt, wiza lub ruch bezwizowy)</w:t>
      </w:r>
      <w:r w:rsidR="001D6088" w:rsidRPr="008456B9">
        <w:rPr>
          <w:rFonts w:cs="Courier New"/>
          <w:color w:val="000000"/>
          <w:lang w:eastAsia="pl-PL"/>
        </w:rPr>
        <w:t>.</w:t>
      </w:r>
    </w:p>
    <w:p w14:paraId="3E8AE5D4" w14:textId="55C4EFDA" w:rsidR="003B2719" w:rsidRDefault="00616CE4" w:rsidP="003B2719">
      <w:pPr>
        <w:jc w:val="both"/>
        <w:rPr>
          <w:rFonts w:cs="Courier New"/>
          <w:color w:val="000000"/>
          <w:lang w:eastAsia="pl-PL"/>
        </w:rPr>
      </w:pPr>
      <w:r w:rsidRPr="008456B9">
        <w:rPr>
          <w:rFonts w:cs="Courier New"/>
          <w:color w:val="000000"/>
          <w:lang w:eastAsia="pl-PL"/>
        </w:rPr>
        <w:t xml:space="preserve">W przypadku zezwolenia </w:t>
      </w:r>
      <w:r w:rsidR="001D6088" w:rsidRPr="008456B9">
        <w:rPr>
          <w:rFonts w:cs="Courier New"/>
          <w:color w:val="000000"/>
          <w:lang w:eastAsia="pl-PL"/>
        </w:rPr>
        <w:t xml:space="preserve">na pracę dla cudzoziemca (pracę sezonową, pracę na podstawie oświadczenia)  </w:t>
      </w:r>
      <w:r w:rsidRPr="008456B9">
        <w:rPr>
          <w:rFonts w:cs="Courier New"/>
          <w:color w:val="000000"/>
          <w:lang w:eastAsia="pl-PL"/>
        </w:rPr>
        <w:t>stroną postępowania jest</w:t>
      </w:r>
      <w:r w:rsidR="001D6088" w:rsidRPr="008456B9">
        <w:rPr>
          <w:rFonts w:cs="Courier New"/>
          <w:color w:val="000000"/>
          <w:lang w:eastAsia="pl-PL"/>
        </w:rPr>
        <w:t xml:space="preserve"> pracodawca, </w:t>
      </w:r>
      <w:r w:rsidRPr="008456B9">
        <w:rPr>
          <w:rFonts w:cs="Courier New"/>
          <w:color w:val="000000"/>
          <w:lang w:eastAsia="pl-PL"/>
        </w:rPr>
        <w:t xml:space="preserve">a  w przypadku </w:t>
      </w:r>
      <w:r w:rsidR="001D6088" w:rsidRPr="008456B9">
        <w:rPr>
          <w:rFonts w:cs="Courier New"/>
          <w:color w:val="000000"/>
          <w:lang w:eastAsia="pl-PL"/>
        </w:rPr>
        <w:t>dokument</w:t>
      </w:r>
      <w:r w:rsidRPr="008456B9">
        <w:rPr>
          <w:rFonts w:cs="Courier New"/>
          <w:color w:val="000000"/>
          <w:lang w:eastAsia="pl-PL"/>
        </w:rPr>
        <w:t>u</w:t>
      </w:r>
      <w:r w:rsidR="001D6088" w:rsidRPr="008456B9">
        <w:rPr>
          <w:rFonts w:cs="Courier New"/>
          <w:color w:val="000000"/>
          <w:lang w:eastAsia="pl-PL"/>
        </w:rPr>
        <w:t xml:space="preserve"> </w:t>
      </w:r>
      <w:r w:rsidRPr="008456B9">
        <w:rPr>
          <w:rFonts w:cs="Courier New"/>
          <w:color w:val="000000"/>
          <w:lang w:eastAsia="pl-PL"/>
        </w:rPr>
        <w:t xml:space="preserve">legalizującego </w:t>
      </w:r>
      <w:r w:rsidR="001D6088" w:rsidRPr="008456B9">
        <w:rPr>
          <w:rFonts w:cs="Courier New"/>
          <w:color w:val="000000"/>
          <w:lang w:eastAsia="pl-PL"/>
        </w:rPr>
        <w:t>pobyt</w:t>
      </w:r>
      <w:r w:rsidR="00F71981">
        <w:rPr>
          <w:rFonts w:cs="Courier New"/>
          <w:color w:val="000000"/>
          <w:lang w:eastAsia="pl-PL"/>
        </w:rPr>
        <w:t xml:space="preserve"> (np. zezwolenia na pobyt czasowy i pracę)</w:t>
      </w:r>
      <w:r w:rsidR="001D6088" w:rsidRPr="008456B9">
        <w:rPr>
          <w:rFonts w:cs="Courier New"/>
          <w:color w:val="000000"/>
          <w:lang w:eastAsia="pl-PL"/>
        </w:rPr>
        <w:t xml:space="preserve"> - sam cudzoziemiec.</w:t>
      </w:r>
    </w:p>
    <w:p w14:paraId="531FF28F" w14:textId="39348AFD" w:rsidR="00AE4EBE" w:rsidRDefault="00AE4EBE" w:rsidP="00AE4EBE">
      <w:pPr>
        <w:jc w:val="both"/>
        <w:rPr>
          <w:rFonts w:cs="Courier New"/>
          <w:color w:val="000000"/>
          <w:lang w:eastAsia="pl-PL"/>
        </w:rPr>
      </w:pPr>
      <w:r w:rsidRPr="004B774A">
        <w:rPr>
          <w:rFonts w:cs="Courier New"/>
          <w:lang w:eastAsia="pl-PL"/>
        </w:rPr>
        <w:t xml:space="preserve">Dane dotyczące pracy cudzoziemców przedstawione w analizie, pochodzą z Centralnego Systemu Analityczno-Raportowego </w:t>
      </w:r>
      <w:proofErr w:type="spellStart"/>
      <w:r>
        <w:rPr>
          <w:rFonts w:cs="Courier New"/>
          <w:lang w:eastAsia="pl-PL"/>
        </w:rPr>
        <w:t>MRPiT</w:t>
      </w:r>
      <w:proofErr w:type="spellEnd"/>
      <w:r>
        <w:rPr>
          <w:rFonts w:cs="Courier New"/>
          <w:lang w:eastAsia="pl-PL"/>
        </w:rPr>
        <w:t xml:space="preserve">. </w:t>
      </w:r>
      <w:r w:rsidRPr="004B774A">
        <w:rPr>
          <w:rFonts w:cs="Courier New"/>
          <w:lang w:eastAsia="pl-PL"/>
        </w:rPr>
        <w:t>Obejmują one informacje o dokumentach dopuszczających cudzoziemców do polskiego rynku pracy</w:t>
      </w:r>
      <w:r>
        <w:rPr>
          <w:rFonts w:cs="Courier New"/>
          <w:lang w:eastAsia="pl-PL"/>
        </w:rPr>
        <w:t>.</w:t>
      </w:r>
      <w:r w:rsidRPr="004B774A">
        <w:rPr>
          <w:rFonts w:cs="Courier New"/>
          <w:lang w:eastAsia="pl-PL"/>
        </w:rPr>
        <w:t xml:space="preserve"> Analizując dane o cudzoziemcach </w:t>
      </w:r>
      <w:r w:rsidRPr="00E14B8D">
        <w:rPr>
          <w:rFonts w:cs="Courier New"/>
          <w:color w:val="000000"/>
          <w:lang w:eastAsia="pl-PL"/>
        </w:rPr>
        <w:t xml:space="preserve">należy zwrócić uwagę, że liczba cudzoziemców faktycznie pracujących </w:t>
      </w:r>
      <w:r>
        <w:rPr>
          <w:rFonts w:cs="Courier New"/>
          <w:color w:val="000000"/>
          <w:lang w:eastAsia="pl-PL"/>
        </w:rPr>
        <w:t>na podstawie</w:t>
      </w:r>
      <w:r w:rsidRPr="00E14B8D">
        <w:rPr>
          <w:rFonts w:cs="Courier New"/>
          <w:color w:val="000000"/>
          <w:lang w:eastAsia="pl-PL"/>
        </w:rPr>
        <w:t xml:space="preserve"> zezwoleni</w:t>
      </w:r>
      <w:r>
        <w:rPr>
          <w:rFonts w:cs="Courier New"/>
          <w:color w:val="000000"/>
          <w:lang w:eastAsia="pl-PL"/>
        </w:rPr>
        <w:t>a</w:t>
      </w:r>
      <w:r w:rsidRPr="00E14B8D">
        <w:rPr>
          <w:rFonts w:cs="Courier New"/>
          <w:color w:val="000000"/>
          <w:lang w:eastAsia="pl-PL"/>
        </w:rPr>
        <w:t xml:space="preserve"> lub wpis</w:t>
      </w:r>
      <w:r>
        <w:rPr>
          <w:rFonts w:cs="Courier New"/>
          <w:color w:val="000000"/>
          <w:lang w:eastAsia="pl-PL"/>
        </w:rPr>
        <w:t>u</w:t>
      </w:r>
      <w:r w:rsidRPr="00E14B8D">
        <w:rPr>
          <w:rFonts w:cs="Courier New"/>
          <w:color w:val="000000"/>
          <w:lang w:eastAsia="pl-PL"/>
        </w:rPr>
        <w:t xml:space="preserve"> do ewidencji oświadcze</w:t>
      </w:r>
      <w:r>
        <w:rPr>
          <w:rFonts w:cs="Courier New"/>
          <w:color w:val="000000"/>
          <w:lang w:eastAsia="pl-PL"/>
        </w:rPr>
        <w:t>ń</w:t>
      </w:r>
      <w:r w:rsidRPr="00E14B8D">
        <w:rPr>
          <w:rFonts w:cs="Courier New"/>
          <w:color w:val="000000"/>
          <w:lang w:eastAsia="pl-PL"/>
        </w:rPr>
        <w:t xml:space="preserve"> jest niższa niż liczba tych dokumentów</w:t>
      </w:r>
      <w:r>
        <w:rPr>
          <w:rFonts w:cs="Courier New"/>
          <w:color w:val="000000"/>
          <w:lang w:eastAsia="pl-PL"/>
        </w:rPr>
        <w:t xml:space="preserve"> (</w:t>
      </w:r>
      <w:r w:rsidR="002E79D4">
        <w:rPr>
          <w:rFonts w:cs="Courier New"/>
          <w:color w:val="000000"/>
          <w:lang w:eastAsia="pl-PL"/>
        </w:rPr>
        <w:t xml:space="preserve">np. </w:t>
      </w:r>
      <w:r w:rsidRPr="00E14B8D">
        <w:rPr>
          <w:rFonts w:cs="Courier New"/>
          <w:color w:val="000000"/>
          <w:lang w:eastAsia="pl-PL"/>
        </w:rPr>
        <w:t>dla części cudzoziemców wydano więcej niż jedno zezwolenie lub oświadczenie</w:t>
      </w:r>
      <w:r w:rsidR="002E79D4">
        <w:rPr>
          <w:rFonts w:cs="Courier New"/>
          <w:color w:val="000000"/>
          <w:lang w:eastAsia="pl-PL"/>
        </w:rPr>
        <w:t>, cudzoziemiec nie otrzymał wizy lub zrezygnował z przyjazdu do Polski</w:t>
      </w:r>
      <w:r>
        <w:rPr>
          <w:rFonts w:cs="Courier New"/>
          <w:color w:val="000000"/>
          <w:lang w:eastAsia="pl-PL"/>
        </w:rPr>
        <w:t>)</w:t>
      </w:r>
      <w:r w:rsidRPr="00E14B8D">
        <w:rPr>
          <w:rFonts w:cs="Courier New"/>
          <w:color w:val="000000"/>
          <w:lang w:eastAsia="pl-PL"/>
        </w:rPr>
        <w:t>.</w:t>
      </w:r>
    </w:p>
    <w:p w14:paraId="0BA93949" w14:textId="71349FF0" w:rsidR="00AE4EBE" w:rsidRPr="00D37A7D" w:rsidRDefault="00AE4EBE" w:rsidP="00AE4EBE">
      <w:pPr>
        <w:jc w:val="both"/>
        <w:rPr>
          <w:rFonts w:cs="Courier New"/>
          <w:color w:val="000000"/>
          <w:lang w:eastAsia="pl-PL"/>
        </w:rPr>
      </w:pPr>
      <w:r w:rsidRPr="00E14B8D">
        <w:rPr>
          <w:rFonts w:cs="Courier New"/>
          <w:color w:val="000000"/>
          <w:lang w:eastAsia="pl-PL"/>
        </w:rPr>
        <w:t>Z drugiej strony, liczbę pracujących w Polsce cudzoziemców należy powiększyć o osoby, które są zwolnione z konieczności uzyskania zezwolenia na pracę</w:t>
      </w:r>
      <w:r>
        <w:rPr>
          <w:rFonts w:cs="Courier New"/>
          <w:color w:val="000000"/>
          <w:lang w:eastAsia="pl-PL"/>
        </w:rPr>
        <w:t xml:space="preserve"> i nie są ujęte w statystykach </w:t>
      </w:r>
      <w:proofErr w:type="spellStart"/>
      <w:r>
        <w:rPr>
          <w:rFonts w:cs="Courier New"/>
          <w:color w:val="000000"/>
          <w:lang w:eastAsia="pl-PL"/>
        </w:rPr>
        <w:t>MRPiT</w:t>
      </w:r>
      <w:proofErr w:type="spellEnd"/>
      <w:r>
        <w:rPr>
          <w:rFonts w:cs="Courier New"/>
          <w:color w:val="000000"/>
          <w:lang w:eastAsia="pl-PL"/>
        </w:rPr>
        <w:t xml:space="preserve"> </w:t>
      </w:r>
      <w:proofErr w:type="spellStart"/>
      <w:r>
        <w:rPr>
          <w:rFonts w:cs="Courier New"/>
          <w:color w:val="000000"/>
          <w:lang w:eastAsia="pl-PL"/>
        </w:rPr>
        <w:t>np</w:t>
      </w:r>
      <w:proofErr w:type="spellEnd"/>
      <w:r>
        <w:rPr>
          <w:rFonts w:cs="Courier New"/>
          <w:color w:val="000000"/>
          <w:lang w:eastAsia="pl-PL"/>
        </w:rPr>
        <w:t>:</w:t>
      </w:r>
      <w:r w:rsidRPr="00E4649E">
        <w:rPr>
          <w:rFonts w:cs="Courier New"/>
          <w:color w:val="000000"/>
          <w:lang w:eastAsia="pl-PL"/>
        </w:rPr>
        <w:t xml:space="preserve"> </w:t>
      </w:r>
      <w:r>
        <w:rPr>
          <w:rFonts w:cs="Courier New"/>
          <w:color w:val="000000"/>
          <w:lang w:eastAsia="pl-PL"/>
        </w:rPr>
        <w:t xml:space="preserve">obywatele UE, osoby objęte ochroną międzynarodową, </w:t>
      </w:r>
      <w:r w:rsidRPr="00E4649E">
        <w:rPr>
          <w:rFonts w:cs="Courier New"/>
          <w:color w:val="000000"/>
          <w:lang w:eastAsia="pl-PL"/>
        </w:rPr>
        <w:t>osoby posiadające zezwolenie na pobyt stały, lub pobyt rezydenta długoterminowego UE wydanego w RP, Kartę Polaka, studenci i absolwenci studiów stacjonarnych w Polsce</w:t>
      </w:r>
      <w:r w:rsidRPr="00E4649E">
        <w:t xml:space="preserve"> </w:t>
      </w:r>
      <w:r w:rsidRPr="00E4649E">
        <w:rPr>
          <w:rFonts w:cs="Courier New"/>
          <w:color w:val="000000"/>
          <w:lang w:eastAsia="pl-PL"/>
        </w:rPr>
        <w:t xml:space="preserve">oraz </w:t>
      </w:r>
      <w:r>
        <w:rPr>
          <w:rFonts w:cs="Courier New"/>
          <w:color w:val="000000"/>
          <w:lang w:eastAsia="pl-PL"/>
        </w:rPr>
        <w:t>niektóre osoby przybywające w ramach łączenia rodzin.</w:t>
      </w:r>
      <w:r w:rsidRPr="00E61A65">
        <w:t xml:space="preserve"> </w:t>
      </w:r>
      <w:r w:rsidRPr="00E61A65">
        <w:rPr>
          <w:rFonts w:cs="Courier New"/>
          <w:color w:val="000000"/>
          <w:lang w:eastAsia="pl-PL"/>
        </w:rPr>
        <w:t xml:space="preserve">W </w:t>
      </w:r>
      <w:r w:rsidR="00D37A7D">
        <w:rPr>
          <w:rFonts w:cs="Courier New"/>
          <w:color w:val="000000"/>
          <w:lang w:eastAsia="pl-PL"/>
        </w:rPr>
        <w:t>2020 r.</w:t>
      </w:r>
      <w:r>
        <w:rPr>
          <w:rFonts w:cs="Courier New"/>
          <w:color w:val="000000"/>
          <w:lang w:eastAsia="pl-PL"/>
        </w:rPr>
        <w:t xml:space="preserve"> do grupy tej dodano </w:t>
      </w:r>
      <w:r w:rsidR="00B86803">
        <w:rPr>
          <w:rFonts w:cs="Courier New"/>
          <w:color w:val="000000"/>
          <w:lang w:eastAsia="pl-PL"/>
        </w:rPr>
        <w:t xml:space="preserve">m.in. </w:t>
      </w:r>
      <w:r w:rsidRPr="00E4649E">
        <w:rPr>
          <w:rFonts w:cs="Courier New"/>
          <w:color w:val="000000"/>
          <w:lang w:eastAsia="pl-PL"/>
        </w:rPr>
        <w:t>cudzoziemc</w:t>
      </w:r>
      <w:r>
        <w:rPr>
          <w:rFonts w:cs="Courier New"/>
          <w:color w:val="000000"/>
          <w:lang w:eastAsia="pl-PL"/>
        </w:rPr>
        <w:t>ów</w:t>
      </w:r>
      <w:r w:rsidRPr="00E4649E">
        <w:rPr>
          <w:rFonts w:cs="Courier New"/>
          <w:color w:val="000000"/>
          <w:lang w:eastAsia="pl-PL"/>
        </w:rPr>
        <w:t xml:space="preserve"> przebywający</w:t>
      </w:r>
      <w:r>
        <w:rPr>
          <w:rFonts w:cs="Courier New"/>
          <w:color w:val="000000"/>
          <w:lang w:eastAsia="pl-PL"/>
        </w:rPr>
        <w:t>ch</w:t>
      </w:r>
      <w:r w:rsidRPr="00E4649E">
        <w:rPr>
          <w:rFonts w:cs="Courier New"/>
          <w:color w:val="000000"/>
          <w:lang w:eastAsia="pl-PL"/>
        </w:rPr>
        <w:t xml:space="preserve"> w Polsce na podstawie wiz humanitarnych i wiz z adnotacją  </w:t>
      </w:r>
      <w:r w:rsidR="00B86803">
        <w:rPr>
          <w:rFonts w:cs="Courier New"/>
          <w:color w:val="000000"/>
          <w:lang w:eastAsia="pl-PL"/>
        </w:rPr>
        <w:t>„</w:t>
      </w:r>
      <w:r w:rsidRPr="00E4649E">
        <w:rPr>
          <w:rFonts w:cs="Courier New"/>
          <w:color w:val="000000"/>
          <w:lang w:eastAsia="pl-PL"/>
        </w:rPr>
        <w:t>Poland</w:t>
      </w:r>
      <w:r w:rsidR="00B86803">
        <w:rPr>
          <w:rFonts w:cs="Courier New"/>
          <w:color w:val="000000"/>
          <w:lang w:eastAsia="pl-PL"/>
        </w:rPr>
        <w:t>.</w:t>
      </w:r>
      <w:r w:rsidRPr="00E4649E">
        <w:rPr>
          <w:rFonts w:cs="Courier New"/>
          <w:color w:val="000000"/>
          <w:lang w:eastAsia="pl-PL"/>
        </w:rPr>
        <w:t xml:space="preserve"> Business Harbour</w:t>
      </w:r>
      <w:r w:rsidR="00B86803">
        <w:rPr>
          <w:rFonts w:cs="Courier New"/>
          <w:color w:val="000000"/>
          <w:lang w:eastAsia="pl-PL"/>
        </w:rPr>
        <w:t>”</w:t>
      </w:r>
      <w:r w:rsidRPr="00E4649E">
        <w:rPr>
          <w:rFonts w:cs="Courier New"/>
          <w:color w:val="000000"/>
          <w:lang w:eastAsia="pl-PL"/>
        </w:rPr>
        <w:t>, lekarz</w:t>
      </w:r>
      <w:r>
        <w:rPr>
          <w:rFonts w:cs="Courier New"/>
          <w:color w:val="000000"/>
          <w:lang w:eastAsia="pl-PL"/>
        </w:rPr>
        <w:t>y</w:t>
      </w:r>
      <w:r w:rsidRPr="00E4649E">
        <w:rPr>
          <w:rFonts w:cs="Courier New"/>
          <w:color w:val="000000"/>
          <w:lang w:eastAsia="pl-PL"/>
        </w:rPr>
        <w:t>, pielęgniarki i ratowni</w:t>
      </w:r>
      <w:r>
        <w:rPr>
          <w:rFonts w:cs="Courier New"/>
          <w:color w:val="000000"/>
          <w:lang w:eastAsia="pl-PL"/>
        </w:rPr>
        <w:t>ków</w:t>
      </w:r>
      <w:r w:rsidRPr="00E4649E">
        <w:rPr>
          <w:rFonts w:cs="Courier New"/>
          <w:color w:val="000000"/>
          <w:lang w:eastAsia="pl-PL"/>
        </w:rPr>
        <w:t xml:space="preserve"> medyczn</w:t>
      </w:r>
      <w:r>
        <w:rPr>
          <w:rFonts w:cs="Courier New"/>
          <w:color w:val="000000"/>
          <w:lang w:eastAsia="pl-PL"/>
        </w:rPr>
        <w:t>ych</w:t>
      </w:r>
      <w:r w:rsidRPr="00E4649E">
        <w:rPr>
          <w:rFonts w:cs="Courier New"/>
          <w:color w:val="000000"/>
          <w:lang w:eastAsia="pl-PL"/>
        </w:rPr>
        <w:t xml:space="preserve"> mający</w:t>
      </w:r>
      <w:r>
        <w:rPr>
          <w:rFonts w:cs="Courier New"/>
          <w:color w:val="000000"/>
          <w:lang w:eastAsia="pl-PL"/>
        </w:rPr>
        <w:t>ch</w:t>
      </w:r>
      <w:r w:rsidRPr="00E4649E">
        <w:rPr>
          <w:rFonts w:cs="Courier New"/>
          <w:color w:val="000000"/>
          <w:lang w:eastAsia="pl-PL"/>
        </w:rPr>
        <w:t xml:space="preserve"> prawo wykonywania zawodu w Polsce.</w:t>
      </w:r>
      <w:r w:rsidR="00A91744">
        <w:rPr>
          <w:rFonts w:cs="Courier New"/>
          <w:color w:val="000000"/>
          <w:lang w:eastAsia="pl-PL"/>
        </w:rPr>
        <w:t xml:space="preserve"> Dane </w:t>
      </w:r>
      <w:proofErr w:type="spellStart"/>
      <w:r w:rsidR="00A91744">
        <w:rPr>
          <w:rFonts w:cs="Courier New"/>
          <w:color w:val="000000"/>
          <w:lang w:eastAsia="pl-PL"/>
        </w:rPr>
        <w:t>MRPiS</w:t>
      </w:r>
      <w:proofErr w:type="spellEnd"/>
      <w:r w:rsidR="00A91744">
        <w:rPr>
          <w:rFonts w:cs="Courier New"/>
          <w:color w:val="000000"/>
          <w:lang w:eastAsia="pl-PL"/>
        </w:rPr>
        <w:t xml:space="preserve"> nie obejmują także zezwoleń na pobyt czasowy i pracę.</w:t>
      </w:r>
    </w:p>
    <w:p w14:paraId="7607571E" w14:textId="3D191D19" w:rsidR="00AE4EBE" w:rsidRDefault="00AE4EBE" w:rsidP="00AE4EBE">
      <w:pPr>
        <w:jc w:val="both"/>
      </w:pPr>
      <w:r>
        <w:rPr>
          <w:rFonts w:cs="Courier New"/>
          <w:color w:val="000000"/>
          <w:lang w:eastAsia="pl-PL"/>
        </w:rPr>
        <w:lastRenderedPageBreak/>
        <w:t>Należy również pamiętać, że w</w:t>
      </w:r>
      <w:r w:rsidRPr="00AD552E">
        <w:t xml:space="preserve"> okresie </w:t>
      </w:r>
      <w:r>
        <w:t>pand</w:t>
      </w:r>
      <w:r w:rsidRPr="00AD552E">
        <w:t>emii COVID-19 Polska wprowadziła</w:t>
      </w:r>
      <w:r w:rsidR="00D37A7D">
        <w:t>:</w:t>
      </w:r>
      <w:r w:rsidRPr="00AD552E">
        <w:t xml:space="preserve"> </w:t>
      </w:r>
    </w:p>
    <w:p w14:paraId="12A6238B" w14:textId="77777777" w:rsidR="00AE4EBE" w:rsidRDefault="00AE4EBE" w:rsidP="00AE4EBE">
      <w:pPr>
        <w:pStyle w:val="Akapitzlist"/>
        <w:numPr>
          <w:ilvl w:val="2"/>
          <w:numId w:val="15"/>
        </w:numPr>
        <w:jc w:val="both"/>
      </w:pPr>
      <w:r w:rsidRPr="00E4649E">
        <w:t>Przedłużenie z mocy prawa legalnego pobytu cudzoziemców do 30 dnia po odwołaniu stanu zagrożenia lub stanu epidemii</w:t>
      </w:r>
      <w:r>
        <w:t xml:space="preserve">, </w:t>
      </w:r>
    </w:p>
    <w:p w14:paraId="0AAE58E7" w14:textId="77777777" w:rsidR="00AE4EBE" w:rsidRDefault="00AE4EBE" w:rsidP="00AE4EBE">
      <w:pPr>
        <w:pStyle w:val="Akapitzlist"/>
        <w:numPr>
          <w:ilvl w:val="2"/>
          <w:numId w:val="15"/>
        </w:numPr>
        <w:jc w:val="both"/>
      </w:pPr>
      <w:r w:rsidRPr="00E4649E">
        <w:t>Przedłużenie z mocy prawa możliwości legalnego zatrudnienia cudzoziemca do 30 dnia po odwołaniu stanu zagrożenia lub stanu epidemii</w:t>
      </w:r>
      <w:r>
        <w:t xml:space="preserve">, </w:t>
      </w:r>
    </w:p>
    <w:p w14:paraId="5D953B61" w14:textId="77777777" w:rsidR="00AE4EBE" w:rsidRDefault="00AE4EBE" w:rsidP="00AE4EBE">
      <w:pPr>
        <w:pStyle w:val="Akapitzlist"/>
        <w:numPr>
          <w:ilvl w:val="2"/>
          <w:numId w:val="15"/>
        </w:numPr>
        <w:jc w:val="both"/>
      </w:pPr>
      <w:r w:rsidRPr="00E4649E">
        <w:t>Brak konieczności uzyskania zezwolenia na pracę sezonową w czasie stanu zagrożenia epidemicznego, stanu epi</w:t>
      </w:r>
      <w:r>
        <w:t xml:space="preserve">demii i 30 dni po ich odwołaniu dla niektórych grup cudzoziemców. </w:t>
      </w:r>
    </w:p>
    <w:p w14:paraId="4113F18C" w14:textId="77777777" w:rsidR="00AE4EBE" w:rsidRPr="00E4649E" w:rsidRDefault="00AE4EBE" w:rsidP="00AE4EBE">
      <w:pPr>
        <w:pStyle w:val="Akapitzlist"/>
        <w:numPr>
          <w:ilvl w:val="2"/>
          <w:numId w:val="15"/>
        </w:numPr>
        <w:jc w:val="both"/>
      </w:pPr>
      <w:r>
        <w:t>B</w:t>
      </w:r>
      <w:r w:rsidRPr="00E4649E">
        <w:t>rak konieczności zmiany zezwolenia na pracę, zezwolenia na pobyt czasowy związanego z pracą czy oświadczenia o powierzeniu wykonywania pracy, gdy warunki pracy cudzoziemca uległy zmianie zgodnie z określonymi przepisami ustawy z dnia 2 marca o szczególnych rozwiązaniach</w:t>
      </w:r>
      <w:r>
        <w:t>.</w:t>
      </w:r>
      <w:r w:rsidRPr="00E4649E">
        <w:t xml:space="preserve"> </w:t>
      </w:r>
    </w:p>
    <w:p w14:paraId="3526649F" w14:textId="3D1C5FC6" w:rsidR="00AE4EBE" w:rsidRDefault="00AE4EBE" w:rsidP="00AE4EBE">
      <w:pPr>
        <w:jc w:val="both"/>
      </w:pPr>
      <w:r>
        <w:t>Powyższe rozwiązania mają dodatkowy wpływ na liczbę wydanych zezwoleń związanych z pracą cudzoziemca w Polsce.</w:t>
      </w:r>
    </w:p>
    <w:p w14:paraId="0492FCB6" w14:textId="2A2F2067" w:rsidR="00A91744" w:rsidRDefault="00A91744" w:rsidP="00AE4EBE">
      <w:pPr>
        <w:jc w:val="both"/>
      </w:pPr>
      <w:r>
        <w:t xml:space="preserve">Dla uzupełnienia obrazu zatrudnienia cudzoziemców w Polsce, w dalszej części omówiono również dane </w:t>
      </w:r>
      <w:proofErr w:type="spellStart"/>
      <w:r>
        <w:t>MRPiT</w:t>
      </w:r>
      <w:proofErr w:type="spellEnd"/>
      <w:r>
        <w:t xml:space="preserve"> </w:t>
      </w:r>
      <w:r w:rsidR="008E591A">
        <w:t xml:space="preserve">wyniki ankiet przeprowadzonych przez </w:t>
      </w:r>
      <w:proofErr w:type="spellStart"/>
      <w:r w:rsidR="008E591A">
        <w:t>MRPiT</w:t>
      </w:r>
      <w:proofErr w:type="spellEnd"/>
      <w:r w:rsidR="008E591A">
        <w:t xml:space="preserve"> wśród powiatowych urzędów pracy nt. wpływu zatrudnienia cudzoziemców na lokalne rynki pracy</w:t>
      </w:r>
      <w:r w:rsidR="00BC0D2C">
        <w:t>.</w:t>
      </w:r>
      <w:r w:rsidR="00E31849">
        <w:t xml:space="preserve"> </w:t>
      </w:r>
    </w:p>
    <w:p w14:paraId="52A4A4A8" w14:textId="0AE8B081" w:rsidR="003B2719" w:rsidRDefault="00E31849" w:rsidP="003B2719">
      <w:pPr>
        <w:jc w:val="both"/>
      </w:pPr>
      <w:r>
        <w:t xml:space="preserve">Wśród istotnych źródeł danych nt. pracy cudzoziemców w Polsce można wymienić jeszcze m.in.: </w:t>
      </w:r>
    </w:p>
    <w:p w14:paraId="1932E541" w14:textId="288DFCEC" w:rsidR="006D2D67" w:rsidRDefault="00B86803" w:rsidP="006D2D67">
      <w:pPr>
        <w:jc w:val="both"/>
      </w:pPr>
      <w:r>
        <w:t xml:space="preserve">- </w:t>
      </w:r>
      <w:r w:rsidR="006D2D67">
        <w:t>Dane Zakładu Ubezpieczeń Społecznych na temat liczby ubezpieczonych (osoby fizyczne), którzy w zgłoszeniu  do ubezpieczeń emerytalnego i rentowych podali obywatelstwo inne niż polskie</w:t>
      </w:r>
    </w:p>
    <w:p w14:paraId="38D72414" w14:textId="1ED4990F" w:rsidR="006D2D67" w:rsidRDefault="00CF2A34" w:rsidP="003B2719">
      <w:pPr>
        <w:jc w:val="both"/>
      </w:pPr>
      <w:hyperlink r:id="rId8" w:history="1">
        <w:r w:rsidR="006D2D67" w:rsidRPr="00C83856">
          <w:rPr>
            <w:rStyle w:val="Hipercze"/>
          </w:rPr>
          <w:t>https://psz.zus.pl/kategorie/ubezpieczeni/ubezpieczenia-emerytalne-i-rentowe</w:t>
        </w:r>
      </w:hyperlink>
    </w:p>
    <w:p w14:paraId="0195B83C" w14:textId="5046C7DF" w:rsidR="006D2D67" w:rsidRDefault="00B86803" w:rsidP="003B2719">
      <w:pPr>
        <w:jc w:val="both"/>
      </w:pPr>
      <w:r>
        <w:t xml:space="preserve">- </w:t>
      </w:r>
      <w:r w:rsidR="006D2D67">
        <w:t>Dane Urzędu do Spraw Cudzoziemców dotyczące osób z państw trzecich, którzy posiadają ważny dokument pobytowy lub złożyły wniosek w sprawie legalizacji pobytu</w:t>
      </w:r>
      <w:r w:rsidR="000A7A7F">
        <w:t xml:space="preserve"> lub ochrony międzynarodowej</w:t>
      </w:r>
      <w:r w:rsidR="006D2D67">
        <w:t xml:space="preserve"> oraz wydane na temat wydanych rozstrzygnięć:</w:t>
      </w:r>
    </w:p>
    <w:p w14:paraId="4806D8CE" w14:textId="7D84660D" w:rsidR="006D2D67" w:rsidRDefault="00CF2A34" w:rsidP="003B2719">
      <w:pPr>
        <w:jc w:val="both"/>
      </w:pPr>
      <w:hyperlink r:id="rId9" w:history="1">
        <w:r w:rsidR="000A7A7F" w:rsidRPr="00C83856">
          <w:rPr>
            <w:rStyle w:val="Hipercze"/>
          </w:rPr>
          <w:t>www.migracje.gov.pl</w:t>
        </w:r>
      </w:hyperlink>
      <w:r w:rsidR="000A7A7F">
        <w:t xml:space="preserve"> , oraz </w:t>
      </w:r>
      <w:hyperlink r:id="rId10" w:history="1">
        <w:r w:rsidR="000A7A7F" w:rsidRPr="00C83856">
          <w:rPr>
            <w:rStyle w:val="Hipercze"/>
          </w:rPr>
          <w:t>https://udsc.gov.pl/statystyki/</w:t>
        </w:r>
      </w:hyperlink>
    </w:p>
    <w:p w14:paraId="34ADE1B5" w14:textId="77777777" w:rsidR="000A7A7F" w:rsidRPr="00E31849" w:rsidRDefault="000A7A7F" w:rsidP="003B2719">
      <w:pPr>
        <w:jc w:val="both"/>
      </w:pPr>
    </w:p>
    <w:p w14:paraId="433C25FF" w14:textId="07BDDCEE" w:rsidR="00AC7B37" w:rsidRPr="00E31849" w:rsidRDefault="00AC7B37" w:rsidP="00E31849">
      <w:pPr>
        <w:pStyle w:val="Akapitzlist"/>
        <w:numPr>
          <w:ilvl w:val="0"/>
          <w:numId w:val="27"/>
        </w:numPr>
        <w:jc w:val="both"/>
        <w:rPr>
          <w:rFonts w:cs="Courier New"/>
          <w:b/>
          <w:color w:val="1F4E79" w:themeColor="accent1" w:themeShade="80"/>
          <w:lang w:eastAsia="pl-PL"/>
        </w:rPr>
      </w:pPr>
      <w:r w:rsidRPr="00E31849">
        <w:rPr>
          <w:rFonts w:cs="Courier New"/>
          <w:b/>
          <w:color w:val="1F4E79" w:themeColor="accent1" w:themeShade="80"/>
          <w:lang w:eastAsia="pl-PL"/>
        </w:rPr>
        <w:t>Zezwolenia na pracę cudzoziemca</w:t>
      </w:r>
    </w:p>
    <w:p w14:paraId="02EC8527" w14:textId="36945257" w:rsidR="00AC7B37" w:rsidRPr="00E4649E" w:rsidRDefault="00F74947" w:rsidP="00AC7B37">
      <w:pPr>
        <w:jc w:val="both"/>
        <w:rPr>
          <w:rFonts w:cs="Courier New"/>
          <w:color w:val="000000"/>
          <w:lang w:eastAsia="pl-PL"/>
        </w:rPr>
      </w:pPr>
      <w:r w:rsidRPr="00E4649E">
        <w:rPr>
          <w:rFonts w:cs="Courier New"/>
          <w:color w:val="000000"/>
          <w:lang w:eastAsia="pl-PL"/>
        </w:rPr>
        <w:t>Zezwoleni</w:t>
      </w:r>
      <w:r w:rsidR="00BE1D6A">
        <w:rPr>
          <w:rFonts w:cs="Courier New"/>
          <w:color w:val="000000"/>
          <w:lang w:eastAsia="pl-PL"/>
        </w:rPr>
        <w:t>e</w:t>
      </w:r>
      <w:r w:rsidRPr="00E4649E">
        <w:rPr>
          <w:rFonts w:cs="Courier New"/>
          <w:color w:val="000000"/>
          <w:lang w:eastAsia="pl-PL"/>
        </w:rPr>
        <w:t xml:space="preserve"> na pracę cudzoziemca wydaje wojewoda. </w:t>
      </w:r>
      <w:r w:rsidR="00005988">
        <w:t xml:space="preserve">Pracodawca składa wypełniony </w:t>
      </w:r>
      <w:r w:rsidR="00AC7B37" w:rsidRPr="00E4649E">
        <w:rPr>
          <w:rFonts w:cs="Courier New"/>
          <w:color w:val="000000"/>
          <w:lang w:eastAsia="pl-PL"/>
        </w:rPr>
        <w:t xml:space="preserve">wniosek o wydanie zezwolenia na pracę cudzoziemca na terytorium </w:t>
      </w:r>
      <w:r w:rsidR="00005988">
        <w:rPr>
          <w:rFonts w:cs="Courier New"/>
          <w:color w:val="000000"/>
          <w:lang w:eastAsia="pl-PL"/>
        </w:rPr>
        <w:t>RP</w:t>
      </w:r>
      <w:r w:rsidR="00AC7B37" w:rsidRPr="00E4649E">
        <w:rPr>
          <w:rFonts w:cs="Courier New"/>
          <w:color w:val="000000"/>
          <w:lang w:eastAsia="pl-PL"/>
        </w:rPr>
        <w:t xml:space="preserve"> wraz </w:t>
      </w:r>
      <w:r w:rsidR="00B12E3A">
        <w:rPr>
          <w:rFonts w:cs="Courier New"/>
          <w:color w:val="000000"/>
          <w:lang w:eastAsia="pl-PL"/>
        </w:rPr>
        <w:t xml:space="preserve">m.in. </w:t>
      </w:r>
      <w:r w:rsidR="00AC7B37" w:rsidRPr="00E4649E">
        <w:rPr>
          <w:rFonts w:cs="Courier New"/>
          <w:color w:val="000000"/>
          <w:lang w:eastAsia="pl-PL"/>
        </w:rPr>
        <w:t>z informacją starosty o wyniku testu rynku pracy</w:t>
      </w:r>
      <w:r w:rsidR="00B12E3A">
        <w:rPr>
          <w:rFonts w:cs="Courier New"/>
          <w:color w:val="000000"/>
          <w:lang w:eastAsia="pl-PL"/>
        </w:rPr>
        <w:t xml:space="preserve"> (jeśli jest wymagana)</w:t>
      </w:r>
      <w:r w:rsidR="003F7B4D">
        <w:rPr>
          <w:rFonts w:cs="Courier New"/>
          <w:color w:val="000000"/>
          <w:lang w:eastAsia="pl-PL"/>
        </w:rPr>
        <w:t>,</w:t>
      </w:r>
      <w:r w:rsidR="00AC7B37" w:rsidRPr="00E4649E">
        <w:rPr>
          <w:rFonts w:cs="Courier New"/>
          <w:color w:val="000000"/>
          <w:lang w:eastAsia="pl-PL"/>
        </w:rPr>
        <w:t xml:space="preserve"> w</w:t>
      </w:r>
      <w:r w:rsidR="00005988">
        <w:rPr>
          <w:rFonts w:cs="Courier New"/>
          <w:color w:val="000000"/>
          <w:lang w:eastAsia="pl-PL"/>
        </w:rPr>
        <w:t>e</w:t>
      </w:r>
      <w:r w:rsidR="00AC7B37" w:rsidRPr="00E4649E">
        <w:rPr>
          <w:rFonts w:cs="Courier New"/>
          <w:color w:val="000000"/>
          <w:lang w:eastAsia="pl-PL"/>
        </w:rPr>
        <w:t xml:space="preserve"> </w:t>
      </w:r>
      <w:r w:rsidR="00104CF7">
        <w:rPr>
          <w:rFonts w:cs="Courier New"/>
          <w:color w:val="000000"/>
          <w:lang w:eastAsia="pl-PL"/>
        </w:rPr>
        <w:t>właściwym</w:t>
      </w:r>
      <w:r w:rsidR="00104CF7" w:rsidRPr="00E4649E">
        <w:rPr>
          <w:rFonts w:cs="Courier New"/>
          <w:color w:val="000000"/>
          <w:lang w:eastAsia="pl-PL"/>
        </w:rPr>
        <w:t xml:space="preserve"> </w:t>
      </w:r>
      <w:r w:rsidR="00AC7B37" w:rsidRPr="00E4649E">
        <w:rPr>
          <w:rFonts w:cs="Courier New"/>
          <w:color w:val="000000"/>
          <w:lang w:eastAsia="pl-PL"/>
        </w:rPr>
        <w:t>Urzędzie Wojewódzkim. Ustawowy czas na wydanie decyzji w sprawach nie wymagających wyjaśnień wynosi 30 dni. Zezwolenie na pracę typu A (</w:t>
      </w:r>
      <w:r w:rsidR="00B12E3A">
        <w:rPr>
          <w:rFonts w:cs="Courier New"/>
          <w:color w:val="000000"/>
          <w:lang w:eastAsia="pl-PL"/>
        </w:rPr>
        <w:t>najpowszechniej wykorzystywane,</w:t>
      </w:r>
      <w:r w:rsidR="00AC7B37" w:rsidRPr="00E4649E">
        <w:rPr>
          <w:rFonts w:cs="Courier New"/>
          <w:color w:val="000000"/>
          <w:lang w:eastAsia="pl-PL"/>
        </w:rPr>
        <w:t xml:space="preserve"> dotycz</w:t>
      </w:r>
      <w:r w:rsidR="00B12E3A">
        <w:rPr>
          <w:rFonts w:cs="Courier New"/>
          <w:color w:val="000000"/>
          <w:lang w:eastAsia="pl-PL"/>
        </w:rPr>
        <w:t>ące</w:t>
      </w:r>
      <w:r w:rsidR="00AC7B37" w:rsidRPr="00E4649E">
        <w:rPr>
          <w:rFonts w:cs="Courier New"/>
          <w:color w:val="000000"/>
          <w:lang w:eastAsia="pl-PL"/>
        </w:rPr>
        <w:t xml:space="preserve"> cudzoziemca wykonującego pracę </w:t>
      </w:r>
      <w:r w:rsidR="00B12E3A">
        <w:rPr>
          <w:rFonts w:cs="Courier New"/>
          <w:color w:val="000000"/>
          <w:lang w:eastAsia="pl-PL"/>
        </w:rPr>
        <w:t>u pracodawcy mającego siedzibę w Polsce</w:t>
      </w:r>
      <w:r w:rsidR="00AC7B37" w:rsidRPr="00E4649E">
        <w:rPr>
          <w:rFonts w:cs="Courier New"/>
          <w:color w:val="000000"/>
          <w:lang w:eastAsia="pl-PL"/>
        </w:rPr>
        <w:t>) wydawane jest przez wojewodę na okres</w:t>
      </w:r>
      <w:r w:rsidR="00B12E3A">
        <w:rPr>
          <w:rFonts w:cs="Courier New"/>
          <w:color w:val="000000"/>
          <w:lang w:eastAsia="pl-PL"/>
        </w:rPr>
        <w:t xml:space="preserve"> – co do zasady -</w:t>
      </w:r>
      <w:r w:rsidR="00AC7B37" w:rsidRPr="00E4649E">
        <w:rPr>
          <w:rFonts w:cs="Courier New"/>
          <w:color w:val="000000"/>
          <w:lang w:eastAsia="pl-PL"/>
        </w:rPr>
        <w:t xml:space="preserve"> do 3 lat. Jeśli cudzoziemiec przebywa za granicą i nie ma ważnego dokumentu pobytowego, to składa on wniosek o wydanie wizy w polskim konsulacie (ew. wjeżdża w ramach ruchu bezwizowego, co pozwala na pobyt i pracę do 3 miesięcy, po tym terminie cudzoziemiec musi uzyskać </w:t>
      </w:r>
      <w:r w:rsidR="00537733" w:rsidRPr="00E4649E">
        <w:rPr>
          <w:rFonts w:cs="Courier New"/>
          <w:color w:val="000000"/>
          <w:lang w:eastAsia="pl-PL"/>
        </w:rPr>
        <w:t xml:space="preserve"> </w:t>
      </w:r>
      <w:r w:rsidR="00AC7B37" w:rsidRPr="00E4649E">
        <w:rPr>
          <w:rFonts w:cs="Courier New"/>
          <w:color w:val="000000"/>
          <w:lang w:eastAsia="pl-PL"/>
        </w:rPr>
        <w:t xml:space="preserve"> zezwolenie na pobyt</w:t>
      </w:r>
      <w:r w:rsidR="00B12E3A">
        <w:rPr>
          <w:rFonts w:cs="Courier New"/>
          <w:color w:val="000000"/>
          <w:lang w:eastAsia="pl-PL"/>
        </w:rPr>
        <w:t>)</w:t>
      </w:r>
      <w:r w:rsidR="00AC7B37" w:rsidRPr="00E4649E">
        <w:rPr>
          <w:rFonts w:cs="Courier New"/>
          <w:color w:val="000000"/>
          <w:lang w:eastAsia="pl-PL"/>
        </w:rPr>
        <w:t xml:space="preserve">. Zezwolenie na pracę dotyczy wszystkich sekcji PKD poza </w:t>
      </w:r>
      <w:r w:rsidR="00B12E3A">
        <w:rPr>
          <w:rFonts w:cs="Courier New"/>
          <w:color w:val="000000"/>
          <w:lang w:eastAsia="pl-PL"/>
        </w:rPr>
        <w:t xml:space="preserve">tymi, które zostały określone jako </w:t>
      </w:r>
      <w:r w:rsidR="00AC7B37" w:rsidRPr="00E4649E">
        <w:rPr>
          <w:rFonts w:cs="Courier New"/>
          <w:color w:val="000000"/>
          <w:lang w:eastAsia="pl-PL"/>
        </w:rPr>
        <w:t>sezonow</w:t>
      </w:r>
      <w:r w:rsidR="00B12E3A">
        <w:rPr>
          <w:rFonts w:cs="Courier New"/>
          <w:color w:val="000000"/>
          <w:lang w:eastAsia="pl-PL"/>
        </w:rPr>
        <w:t>e (gdzie obowiązuje zezwolenie na pracę sezonową wydawane przez starostę)</w:t>
      </w:r>
      <w:r w:rsidR="00AC7B37" w:rsidRPr="00E4649E">
        <w:rPr>
          <w:rFonts w:cs="Courier New"/>
          <w:color w:val="000000"/>
          <w:lang w:eastAsia="pl-PL"/>
        </w:rPr>
        <w:t>.</w:t>
      </w:r>
    </w:p>
    <w:p w14:paraId="6BE435C2" w14:textId="26B26A7B" w:rsidR="000D0B65" w:rsidRDefault="000D0B65" w:rsidP="00FF15AC">
      <w:pPr>
        <w:jc w:val="both"/>
      </w:pPr>
      <w:r>
        <w:t xml:space="preserve">Liczba składanych </w:t>
      </w:r>
      <w:r w:rsidRPr="002646E3">
        <w:rPr>
          <w:b/>
        </w:rPr>
        <w:t>wniosków o udzielenie zezwolenia na pracę</w:t>
      </w:r>
      <w:r>
        <w:t xml:space="preserve"> rośnie systematycznie od wielu lat, lecz w 2020 roku odnotowano pierwszy </w:t>
      </w:r>
      <w:r w:rsidR="00B86803">
        <w:t xml:space="preserve">od 2013 r. </w:t>
      </w:r>
      <w:r>
        <w:t>spadek w stosunku do roku poprzedniego</w:t>
      </w:r>
      <w:r w:rsidR="002C6C55">
        <w:t>.</w:t>
      </w:r>
    </w:p>
    <w:p w14:paraId="257D5D79" w14:textId="76B83131" w:rsidR="000D0B65" w:rsidRDefault="000D0B65" w:rsidP="00FF15AC">
      <w:pPr>
        <w:jc w:val="both"/>
      </w:pPr>
    </w:p>
    <w:p w14:paraId="6FFA9EF7" w14:textId="4FBCAFEE" w:rsidR="000D0B65" w:rsidRDefault="000D0B65" w:rsidP="00FF15AC">
      <w:pPr>
        <w:jc w:val="both"/>
      </w:pPr>
    </w:p>
    <w:p w14:paraId="7EBB554C" w14:textId="77777777" w:rsidR="00D37A7D" w:rsidRDefault="000D0B65" w:rsidP="00FF15AC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FD1B674" wp14:editId="618873BC">
            <wp:extent cx="6305550" cy="3429000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1FA5F7" w14:textId="07C07E56" w:rsidR="000D0B65" w:rsidRDefault="007A5480" w:rsidP="00FF15AC">
      <w:pPr>
        <w:jc w:val="both"/>
      </w:pPr>
      <w:r w:rsidRPr="00E4649E">
        <w:t xml:space="preserve">W 2020 roku w urzędach wojewódzkich złożono łącznie </w:t>
      </w:r>
      <w:r w:rsidR="000D0B65" w:rsidRPr="00E4649E">
        <w:t>44</w:t>
      </w:r>
      <w:r w:rsidR="000D0B65">
        <w:t>9</w:t>
      </w:r>
      <w:r w:rsidR="000D0B65" w:rsidRPr="00E4649E">
        <w:t xml:space="preserve"> </w:t>
      </w:r>
      <w:r w:rsidRPr="00E4649E">
        <w:t xml:space="preserve">tys. wniosków co stanowi spadek o </w:t>
      </w:r>
      <w:r w:rsidR="000D0B65">
        <w:t>9</w:t>
      </w:r>
      <w:r w:rsidRPr="00E4649E">
        <w:t xml:space="preserve">% względem roku poprzedniego. </w:t>
      </w:r>
      <w:r w:rsidR="00005988">
        <w:t>Miesięcznie składano średnio 37</w:t>
      </w:r>
      <w:r w:rsidR="000D0B65">
        <w:t>,5</w:t>
      </w:r>
      <w:r w:rsidR="00005988">
        <w:t xml:space="preserve"> tys. wniosków</w:t>
      </w:r>
      <w:r w:rsidR="00F818A1" w:rsidRPr="00E4649E">
        <w:t>.</w:t>
      </w:r>
      <w:r w:rsidR="009B5866">
        <w:t xml:space="preserve"> Szczególnie silny spadek nowych wniosków obserwowano w miesiącach pierwszej fali pandemii w 2020 r.</w:t>
      </w:r>
      <w:r w:rsidR="00FF15AC">
        <w:t xml:space="preserve"> </w:t>
      </w:r>
    </w:p>
    <w:p w14:paraId="0485FB50" w14:textId="77FEC5DA" w:rsidR="002B3134" w:rsidRDefault="002B3134" w:rsidP="00FF15AC">
      <w:pPr>
        <w:jc w:val="both"/>
      </w:pPr>
    </w:p>
    <w:p w14:paraId="09A45B97" w14:textId="1DD72F5B" w:rsidR="00FF15AC" w:rsidRPr="00E4649E" w:rsidRDefault="00FF15AC" w:rsidP="00FF15AC">
      <w:pPr>
        <w:jc w:val="both"/>
      </w:pPr>
      <w:r w:rsidRPr="00E4649E">
        <w:rPr>
          <w:rFonts w:cs="Courier New"/>
          <w:b/>
          <w:color w:val="000000"/>
          <w:lang w:eastAsia="pl-PL"/>
        </w:rPr>
        <w:t>Średni czas trwania postępowania</w:t>
      </w:r>
      <w:r w:rsidRPr="00E4649E">
        <w:rPr>
          <w:rFonts w:cs="Courier New"/>
          <w:color w:val="000000"/>
          <w:lang w:eastAsia="pl-PL"/>
        </w:rPr>
        <w:t xml:space="preserve"> o udzielnie zezwolenia na pracę cudzoziemca nieznacznie skrócił się w skali całej Polski z 63 dni </w:t>
      </w:r>
      <w:r>
        <w:rPr>
          <w:rFonts w:cs="Courier New"/>
          <w:color w:val="000000"/>
          <w:lang w:eastAsia="pl-PL"/>
        </w:rPr>
        <w:t xml:space="preserve">w </w:t>
      </w:r>
      <w:r w:rsidRPr="00E4649E">
        <w:rPr>
          <w:rFonts w:cs="Courier New"/>
          <w:color w:val="000000"/>
          <w:lang w:eastAsia="pl-PL"/>
        </w:rPr>
        <w:t>2019 roku do 61 w 2020 roku</w:t>
      </w:r>
      <w:r w:rsidR="00A047FE">
        <w:rPr>
          <w:rFonts w:cs="Courier New"/>
          <w:color w:val="000000"/>
          <w:lang w:eastAsia="pl-PL"/>
        </w:rPr>
        <w:t xml:space="preserve"> i jest porównywalny ze średnim czasem postępowań w latach 2015-2017.</w:t>
      </w:r>
      <w:r w:rsidR="00EB238B">
        <w:rPr>
          <w:rFonts w:cs="Courier New"/>
          <w:color w:val="000000"/>
          <w:lang w:eastAsia="pl-PL"/>
        </w:rPr>
        <w:t xml:space="preserve"> Należy pamiętać, że liczba rozstrzygnięć wydanych w 2020 </w:t>
      </w:r>
      <w:r w:rsidR="00D37A7D">
        <w:rPr>
          <w:rFonts w:cs="Courier New"/>
          <w:color w:val="000000"/>
          <w:lang w:eastAsia="pl-PL"/>
        </w:rPr>
        <w:t xml:space="preserve">znacznie </w:t>
      </w:r>
      <w:r w:rsidR="00EB238B">
        <w:rPr>
          <w:rFonts w:cs="Courier New"/>
          <w:color w:val="000000"/>
          <w:lang w:eastAsia="pl-PL"/>
        </w:rPr>
        <w:t>przekracza tą z lat 2015-2017.</w:t>
      </w:r>
    </w:p>
    <w:p w14:paraId="560D52B3" w14:textId="6F37A2A8" w:rsidR="00F818A1" w:rsidRDefault="00A047FE" w:rsidP="002646E3">
      <w:pPr>
        <w:jc w:val="center"/>
      </w:pPr>
      <w:r>
        <w:rPr>
          <w:noProof/>
          <w:lang w:eastAsia="pl-PL"/>
        </w:rPr>
        <w:drawing>
          <wp:inline distT="0" distB="0" distL="0" distR="0" wp14:anchorId="74167529" wp14:editId="066BAC78">
            <wp:extent cx="5334000" cy="2322830"/>
            <wp:effectExtent l="0" t="0" r="0" b="127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AF15F4" w14:textId="77777777" w:rsidR="002B3134" w:rsidRDefault="002B3134" w:rsidP="001D6088"/>
    <w:p w14:paraId="44107AEC" w14:textId="365F939F" w:rsidR="001D6088" w:rsidRPr="00E4649E" w:rsidRDefault="007A5480" w:rsidP="001D6088">
      <w:r w:rsidRPr="00E4649E">
        <w:t xml:space="preserve">Najwięcej wniosków złożono w województwach: </w:t>
      </w:r>
      <w:r w:rsidR="00253AD6" w:rsidRPr="00E4649E">
        <w:t>mazowieckim (99 tys.) , wielkopolski</w:t>
      </w:r>
      <w:r w:rsidR="00945BBD">
        <w:t>m</w:t>
      </w:r>
      <w:r w:rsidR="00253AD6" w:rsidRPr="00E4649E">
        <w:t xml:space="preserve"> (5 tys.) oraz łódzkim (46 tys.), najmniej w województwach: świętokrzyskim (4,6 tys.) oraz </w:t>
      </w:r>
      <w:r w:rsidR="00F818A1" w:rsidRPr="00E4649E">
        <w:t xml:space="preserve">podkarpackim (6,3 tys.), warmińsko-mazurskim (6,7 </w:t>
      </w:r>
      <w:r w:rsidR="00005988" w:rsidRPr="00E4649E">
        <w:t>ty</w:t>
      </w:r>
      <w:r w:rsidR="00005988">
        <w:t>s</w:t>
      </w:r>
      <w:r w:rsidR="00F818A1" w:rsidRPr="00E4649E">
        <w:t>.)</w:t>
      </w:r>
    </w:p>
    <w:p w14:paraId="45093B9E" w14:textId="35FCE402" w:rsidR="001D6088" w:rsidRPr="00E4649E" w:rsidRDefault="00F818A1" w:rsidP="001D6088">
      <w:r w:rsidRPr="00E4649E">
        <w:rPr>
          <w:noProof/>
          <w:lang w:eastAsia="pl-PL"/>
        </w:rPr>
        <w:lastRenderedPageBreak/>
        <w:drawing>
          <wp:inline distT="0" distB="0" distL="0" distR="0" wp14:anchorId="41C3DFE4" wp14:editId="442A48FB">
            <wp:extent cx="6143625" cy="53530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E0C56B" w14:textId="77777777" w:rsidR="00050973" w:rsidRDefault="00050973" w:rsidP="009559B2">
      <w:pPr>
        <w:jc w:val="both"/>
      </w:pPr>
    </w:p>
    <w:p w14:paraId="693C8D0E" w14:textId="7D30F981" w:rsidR="00861FC5" w:rsidRPr="00E4649E" w:rsidRDefault="00632B13" w:rsidP="009559B2">
      <w:pPr>
        <w:jc w:val="both"/>
      </w:pPr>
      <w:r>
        <w:t xml:space="preserve">W 2020 roku </w:t>
      </w:r>
      <w:r w:rsidR="00F818A1" w:rsidRPr="00E4649E">
        <w:t xml:space="preserve"> wydano 418 </w:t>
      </w:r>
      <w:r w:rsidR="00005988" w:rsidRPr="00E4649E">
        <w:t>ty</w:t>
      </w:r>
      <w:r w:rsidR="00005988">
        <w:t>s</w:t>
      </w:r>
      <w:r w:rsidR="00861FC5" w:rsidRPr="00E4649E">
        <w:t xml:space="preserve">. </w:t>
      </w:r>
      <w:r w:rsidR="00F818A1" w:rsidRPr="00E4649E">
        <w:t>zezwoleń na pracę</w:t>
      </w:r>
      <w:r w:rsidR="00861FC5" w:rsidRPr="00E4649E">
        <w:t xml:space="preserve"> o 7% mniej niż rok </w:t>
      </w:r>
      <w:r w:rsidR="00FF15AC" w:rsidRPr="00E4649E">
        <w:t>wcześniej</w:t>
      </w:r>
      <w:r w:rsidR="00FF15AC">
        <w:t>, spadek</w:t>
      </w:r>
      <w:r w:rsidR="009B5866">
        <w:t xml:space="preserve"> wydanych decyzji był więc nieco niższy niż złożonych w tym roku wniosków</w:t>
      </w:r>
      <w:r w:rsidR="00861FC5" w:rsidRPr="00E4649E">
        <w:t xml:space="preserve">. Najliczniej zezwolenia </w:t>
      </w:r>
      <w:r>
        <w:t>na pracę</w:t>
      </w:r>
      <w:r w:rsidRPr="00E4649E">
        <w:t xml:space="preserve"> </w:t>
      </w:r>
      <w:r w:rsidR="00861FC5" w:rsidRPr="00E4649E">
        <w:t xml:space="preserve">wydawano w województwach: mazowieckim (71 </w:t>
      </w:r>
      <w:r w:rsidR="00005988" w:rsidRPr="00E4649E">
        <w:t>ty</w:t>
      </w:r>
      <w:r w:rsidR="00005988">
        <w:t>s</w:t>
      </w:r>
      <w:r w:rsidR="00861FC5" w:rsidRPr="00E4649E">
        <w:t xml:space="preserve">.) wielkopolskim (52 </w:t>
      </w:r>
      <w:r w:rsidR="00005988" w:rsidRPr="00E4649E">
        <w:t>ty</w:t>
      </w:r>
      <w:r w:rsidR="00005988">
        <w:t>s</w:t>
      </w:r>
      <w:r w:rsidR="00861FC5" w:rsidRPr="00E4649E">
        <w:t xml:space="preserve">.) oraz w łódzkim (43 </w:t>
      </w:r>
      <w:r w:rsidR="00005988" w:rsidRPr="00E4649E">
        <w:t>ty</w:t>
      </w:r>
      <w:r w:rsidR="00005988">
        <w:t>s</w:t>
      </w:r>
      <w:r w:rsidR="00861FC5" w:rsidRPr="00E4649E">
        <w:t xml:space="preserve">.). Najmniej zezwoleń wydano w tych województwach, które przyjęły najmniej wniosków tj. świętokrzyskim (4,7 tys.) oraz podkarpackim (6,7 tys.), warmińsko-mazurskim (6,8 </w:t>
      </w:r>
      <w:r w:rsidR="00005988" w:rsidRPr="00E4649E">
        <w:t>ty</w:t>
      </w:r>
      <w:r w:rsidR="00005988">
        <w:t>s</w:t>
      </w:r>
      <w:r w:rsidR="00861FC5" w:rsidRPr="00E4649E">
        <w:t>.).</w:t>
      </w:r>
    </w:p>
    <w:p w14:paraId="10D8D4E4" w14:textId="794A16BD" w:rsidR="00861FC5" w:rsidRPr="00E4649E" w:rsidRDefault="00861FC5" w:rsidP="00861FC5">
      <w:pPr>
        <w:ind w:left="-993"/>
      </w:pPr>
      <w:r w:rsidRPr="00E4649E">
        <w:rPr>
          <w:noProof/>
          <w:lang w:eastAsia="pl-PL"/>
        </w:rPr>
        <w:lastRenderedPageBreak/>
        <w:drawing>
          <wp:inline distT="0" distB="0" distL="0" distR="0" wp14:anchorId="1A5608C7" wp14:editId="31DA4FDF">
            <wp:extent cx="6905625" cy="391477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AAEF05" w14:textId="77777777" w:rsidR="00CB2769" w:rsidRPr="00E4649E" w:rsidRDefault="00CB2769" w:rsidP="007F6580">
      <w:pPr>
        <w:ind w:right="568"/>
      </w:pPr>
    </w:p>
    <w:p w14:paraId="0F47EC1A" w14:textId="53F4F4BD" w:rsidR="00A84236" w:rsidRDefault="007F6580" w:rsidP="009559B2">
      <w:pPr>
        <w:ind w:right="568"/>
        <w:jc w:val="both"/>
      </w:pPr>
      <w:r w:rsidRPr="00E4649E">
        <w:t>Wśród cudzoziemców, którzy uzyskali zezwolenie na pracę w 2020 roku przeważali mężczyźni – 73%</w:t>
      </w:r>
      <w:r w:rsidR="00A23CA4">
        <w:br/>
      </w:r>
      <w:r w:rsidR="00A84236">
        <w:t>a według wieku</w:t>
      </w:r>
      <w:r w:rsidR="000A7A7F">
        <w:t xml:space="preserve"> blisko 64% to </w:t>
      </w:r>
      <w:r w:rsidR="00A84236">
        <w:t xml:space="preserve">osoby </w:t>
      </w:r>
      <w:r w:rsidRPr="00E4649E">
        <w:t xml:space="preserve">w </w:t>
      </w:r>
      <w:r w:rsidR="00A84236">
        <w:t>przedziale od</w:t>
      </w:r>
      <w:r w:rsidR="00A84236" w:rsidRPr="00E4649E">
        <w:t xml:space="preserve"> </w:t>
      </w:r>
      <w:r w:rsidRPr="00E4649E">
        <w:t>25 do 44 lat</w:t>
      </w:r>
      <w:r w:rsidR="00CB2769" w:rsidRPr="00E4649E">
        <w:t>.</w:t>
      </w:r>
      <w:r w:rsidR="00A23CA4" w:rsidRPr="00A23CA4">
        <w:t xml:space="preserve"> </w:t>
      </w:r>
      <w:r w:rsidR="00A23CA4">
        <w:t>Mężczyźni, którzy otrzymali</w:t>
      </w:r>
      <w:r w:rsidR="00EB238B">
        <w:t xml:space="preserve"> </w:t>
      </w:r>
      <w:r w:rsidR="00A23CA4">
        <w:t>zezwolenie na pracę byli głównie w wieku 25-34 lat a wśród kobiet przeważał</w:t>
      </w:r>
      <w:r w:rsidR="00EB238B">
        <w:t>y</w:t>
      </w:r>
      <w:r w:rsidR="00A23CA4">
        <w:t xml:space="preserve"> </w:t>
      </w:r>
      <w:r w:rsidR="00EB238B">
        <w:t>osoby w wieku</w:t>
      </w:r>
      <w:r w:rsidR="00A23CA4">
        <w:t xml:space="preserve"> 35-44 lat)</w:t>
      </w:r>
    </w:p>
    <w:p w14:paraId="7B9079A9" w14:textId="2B55E7D0" w:rsidR="00CB2769" w:rsidRPr="00E4649E" w:rsidRDefault="00A84236" w:rsidP="002646E3">
      <w:pPr>
        <w:ind w:right="568"/>
        <w:jc w:val="center"/>
      </w:pPr>
      <w:r w:rsidRPr="00A84236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767A130" wp14:editId="267BB40A">
            <wp:extent cx="5400675" cy="307467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876AA1B" w14:textId="77777777" w:rsidR="00377B4F" w:rsidRPr="00E4649E" w:rsidRDefault="00377B4F" w:rsidP="007F6580">
      <w:pPr>
        <w:ind w:right="568"/>
      </w:pPr>
    </w:p>
    <w:p w14:paraId="63D49F76" w14:textId="3A85AAD1" w:rsidR="00DC0114" w:rsidRPr="00E4649E" w:rsidRDefault="00DC0114" w:rsidP="007F6580">
      <w:pPr>
        <w:ind w:right="1"/>
        <w:jc w:val="center"/>
      </w:pPr>
    </w:p>
    <w:p w14:paraId="3BCDF8AA" w14:textId="56E9E74A" w:rsidR="00DC0114" w:rsidRPr="00E4649E" w:rsidRDefault="00DC0114" w:rsidP="00861FC5">
      <w:pPr>
        <w:ind w:left="-993"/>
      </w:pPr>
    </w:p>
    <w:p w14:paraId="33BECEF0" w14:textId="4D71315A" w:rsidR="00DC0114" w:rsidRPr="00E4649E" w:rsidRDefault="00DC0114" w:rsidP="007F6580">
      <w:pPr>
        <w:ind w:right="1"/>
      </w:pPr>
    </w:p>
    <w:p w14:paraId="047199B6" w14:textId="72D9B1F4" w:rsidR="00330F76" w:rsidRDefault="009B5866" w:rsidP="009559B2">
      <w:pPr>
        <w:ind w:right="1"/>
        <w:jc w:val="both"/>
      </w:pPr>
      <w:r>
        <w:t>C</w:t>
      </w:r>
      <w:r w:rsidR="000A47C1" w:rsidRPr="00E4649E">
        <w:t>udzoziemcy</w:t>
      </w:r>
      <w:r w:rsidR="00632B13">
        <w:t>, którzy otrzymali</w:t>
      </w:r>
      <w:r w:rsidR="000A47C1" w:rsidRPr="00E4649E">
        <w:t xml:space="preserve"> </w:t>
      </w:r>
      <w:r w:rsidR="00632B13" w:rsidRPr="00E4649E">
        <w:t>zezwoleni</w:t>
      </w:r>
      <w:r w:rsidR="00632B13">
        <w:t>e</w:t>
      </w:r>
      <w:r w:rsidR="00632B13" w:rsidRPr="00E4649E">
        <w:t xml:space="preserve"> </w:t>
      </w:r>
      <w:r w:rsidR="000A47C1" w:rsidRPr="00E4649E">
        <w:t>na pracę w 2020 r</w:t>
      </w:r>
      <w:r w:rsidR="00E61FA1">
        <w:t>oku</w:t>
      </w:r>
      <w:r w:rsidR="00E61FA1" w:rsidRPr="00E4649E">
        <w:t xml:space="preserve"> </w:t>
      </w:r>
      <w:r>
        <w:t xml:space="preserve">najliczniej </w:t>
      </w:r>
      <w:r w:rsidR="000A47C1" w:rsidRPr="00E4649E">
        <w:t>zatrudniani byli w następujących branżach: działalność w zakresie usług administrowania i działalność wspierająca - 23%</w:t>
      </w:r>
      <w:r w:rsidR="00D37A7D">
        <w:t xml:space="preserve"> (tutaj znaczny odsetek stanowią agencje zatrudnienia)</w:t>
      </w:r>
      <w:r w:rsidR="000A47C1" w:rsidRPr="00E4649E">
        <w:t>, budownictwo - 23%, przetwórstwo przemysłowe - 22%, transport i gospodarka magazynowa - 18%, pozostałe– 14%.</w:t>
      </w:r>
    </w:p>
    <w:p w14:paraId="1E2518C6" w14:textId="44C6607B" w:rsidR="00330F76" w:rsidRPr="00E4649E" w:rsidRDefault="00393CBB" w:rsidP="009559B2">
      <w:pPr>
        <w:ind w:right="1"/>
        <w:jc w:val="both"/>
      </w:pPr>
      <w:r w:rsidRPr="00E4649E">
        <w:rPr>
          <w:noProof/>
          <w:lang w:eastAsia="pl-PL"/>
        </w:rPr>
        <w:drawing>
          <wp:inline distT="0" distB="0" distL="0" distR="0" wp14:anchorId="09703677" wp14:editId="23547DA9">
            <wp:extent cx="6210935" cy="4643042"/>
            <wp:effectExtent l="0" t="0" r="0" b="571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7D7AC8" w14:textId="4D09969D" w:rsidR="009559B2" w:rsidRDefault="009559B2" w:rsidP="002B3134">
      <w:pPr>
        <w:ind w:left="-993" w:right="-141"/>
      </w:pPr>
    </w:p>
    <w:p w14:paraId="3248D760" w14:textId="1BEB5443" w:rsidR="00A84236" w:rsidRDefault="00AA6E12" w:rsidP="009559B2">
      <w:pPr>
        <w:ind w:right="1"/>
        <w:jc w:val="both"/>
      </w:pPr>
      <w:r w:rsidRPr="00E4649E">
        <w:t xml:space="preserve">Cudzoziemcy </w:t>
      </w:r>
      <w:r w:rsidR="003C2BBF">
        <w:t xml:space="preserve">w 2020 roku, podobnie jak w latach 2018-2019, </w:t>
      </w:r>
      <w:r w:rsidR="00632B13">
        <w:t>byli</w:t>
      </w:r>
      <w:r w:rsidR="00632B13" w:rsidRPr="00E4649E">
        <w:t xml:space="preserve"> głównie </w:t>
      </w:r>
      <w:r w:rsidRPr="00E4649E">
        <w:t>zatrudni</w:t>
      </w:r>
      <w:r w:rsidR="00D37A7D">
        <w:t>ani</w:t>
      </w:r>
      <w:r w:rsidRPr="00E4649E">
        <w:t xml:space="preserve"> na stanowiskach jako: robotnicy przemysłowi i rzemieślnicy – 34%, pracownicy wykonujący prace proste – 31%, operatorzy i monterzy maszyn i urządzeń – 20 %, Pozostałe</w:t>
      </w:r>
      <w:r w:rsidR="00A84236">
        <w:t xml:space="preserve"> zawody </w:t>
      </w:r>
      <w:r w:rsidRPr="00E4649E">
        <w:t xml:space="preserve"> – 15</w:t>
      </w:r>
      <w:r w:rsidR="00A84236" w:rsidRPr="00E4649E">
        <w:t>%</w:t>
      </w:r>
      <w:r w:rsidR="00A84236">
        <w:t>.</w:t>
      </w:r>
      <w:r w:rsidR="003C2BBF">
        <w:t xml:space="preserve"> Największy spadek w stosunku do roku 2019 o 17% </w:t>
      </w:r>
      <w:r w:rsidR="00731D32">
        <w:t xml:space="preserve">z 175 tys. na 144 tys., </w:t>
      </w:r>
      <w:r w:rsidR="003C2BBF">
        <w:t xml:space="preserve">odnotowano w pierwszej grupie zawodów oraz 5% spadek </w:t>
      </w:r>
      <w:r w:rsidR="00731D32">
        <w:t xml:space="preserve">z 89 tys. na 84 tys. </w:t>
      </w:r>
      <w:r w:rsidR="003C2BBF">
        <w:t xml:space="preserve">w przypadku operatorów i monterów maszyn i urządzeń. Natomiast lekki wzrost o 4% </w:t>
      </w:r>
      <w:r w:rsidR="00731D32">
        <w:t xml:space="preserve">z 125 tys. na 129 tys. </w:t>
      </w:r>
      <w:r w:rsidR="003C2BBF">
        <w:t>w przypadku prac prostych</w:t>
      </w:r>
    </w:p>
    <w:p w14:paraId="2ADAEDE7" w14:textId="7A660FDC" w:rsidR="00A84236" w:rsidRDefault="002C6F7B" w:rsidP="009559B2">
      <w:pPr>
        <w:ind w:right="1"/>
        <w:jc w:val="both"/>
      </w:pPr>
      <w:r>
        <w:t xml:space="preserve">W 2020 roku cudzoziemcy pracowali </w:t>
      </w:r>
      <w:r w:rsidR="00AA6E12" w:rsidRPr="00E4649E">
        <w:t>głównie na umowę zlecenie (52%) i umowę o pracę (44%)</w:t>
      </w:r>
      <w:r>
        <w:t xml:space="preserve">. </w:t>
      </w:r>
      <w:r w:rsidR="00731D32">
        <w:t>Udział procentowy</w:t>
      </w:r>
      <w:r>
        <w:t xml:space="preserve"> umowy zlecenia wzr</w:t>
      </w:r>
      <w:r w:rsidR="00731D32">
        <w:t>ósł w stosunku do roku 2018 o 7</w:t>
      </w:r>
      <w:r>
        <w:t xml:space="preserve"> </w:t>
      </w:r>
      <w:r w:rsidR="00731D32">
        <w:t xml:space="preserve">punktów % </w:t>
      </w:r>
      <w:r>
        <w:t>a w stosunku do roku 2019 o 5</w:t>
      </w:r>
      <w:r w:rsidR="00731D32">
        <w:t xml:space="preserve"> punktów </w:t>
      </w:r>
      <w:r>
        <w:t>%</w:t>
      </w:r>
    </w:p>
    <w:p w14:paraId="3625D98A" w14:textId="314BC0D7" w:rsidR="00AA6E12" w:rsidRDefault="002C6F7B" w:rsidP="009559B2">
      <w:pPr>
        <w:ind w:right="1"/>
        <w:jc w:val="both"/>
      </w:pPr>
      <w:r>
        <w:t xml:space="preserve">Na przestrzeni ostatnich 3 lat spadł znacznie </w:t>
      </w:r>
      <w:r w:rsidR="000F0AF8">
        <w:t>udział</w:t>
      </w:r>
      <w:r>
        <w:t xml:space="preserve"> cudzoziemców zatrudnionych na umowy krótkookresowe do 12 miesięcy w stosunku do roku 2018 o niemal 12</w:t>
      </w:r>
      <w:r w:rsidR="00731D32">
        <w:t xml:space="preserve"> punktów </w:t>
      </w:r>
      <w:r>
        <w:t>%. W 2020 roku wrósł nieznacznie w stosunku do 2019 o 2</w:t>
      </w:r>
      <w:r w:rsidR="00731D32">
        <w:t xml:space="preserve"> punkty </w:t>
      </w:r>
      <w:r>
        <w:t>%</w:t>
      </w:r>
      <w:r w:rsidR="00D31747">
        <w:t>.</w:t>
      </w:r>
    </w:p>
    <w:p w14:paraId="4231BE9D" w14:textId="77777777" w:rsidR="00D31747" w:rsidRDefault="00D31747" w:rsidP="009559B2">
      <w:pPr>
        <w:ind w:right="1"/>
        <w:jc w:val="both"/>
      </w:pPr>
    </w:p>
    <w:tbl>
      <w:tblPr>
        <w:tblW w:w="5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960"/>
        <w:gridCol w:w="960"/>
        <w:gridCol w:w="960"/>
      </w:tblGrid>
      <w:tr w:rsidR="000F0AF8" w:rsidRPr="000F0AF8" w14:paraId="7C5C67FC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113D8F" w14:textId="77777777" w:rsidR="000F0AF8" w:rsidRPr="000F0AF8" w:rsidRDefault="000F0AF8" w:rsidP="000F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Okres zatrudnienia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735C41" w14:textId="77777777" w:rsidR="000F0AF8" w:rsidRPr="000F0AF8" w:rsidRDefault="000F0AF8" w:rsidP="000F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A72A7E" w14:textId="77777777" w:rsidR="000F0AF8" w:rsidRPr="000F0AF8" w:rsidRDefault="000F0AF8" w:rsidP="000F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15E76E" w14:textId="77777777" w:rsidR="000F0AF8" w:rsidRPr="000F0AF8" w:rsidRDefault="000F0AF8" w:rsidP="000F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2020</w:t>
            </w:r>
          </w:p>
        </w:tc>
      </w:tr>
      <w:tr w:rsidR="000F0AF8" w:rsidRPr="000F0AF8" w14:paraId="52345656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26A9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poniżej 3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DB77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354D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6FA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0,1%</w:t>
            </w:r>
          </w:p>
        </w:tc>
      </w:tr>
      <w:tr w:rsidR="000F0AF8" w:rsidRPr="000F0AF8" w14:paraId="3A778144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0246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 3 do 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9E3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E6DD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9E79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0,3%</w:t>
            </w:r>
          </w:p>
        </w:tc>
      </w:tr>
      <w:tr w:rsidR="000F0AF8" w:rsidRPr="000F0AF8" w14:paraId="3CC1EAF0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EA8B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powyżej 6 do 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8BFF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83A3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E16E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38,2%</w:t>
            </w:r>
          </w:p>
        </w:tc>
      </w:tr>
      <w:tr w:rsidR="000F0AF8" w:rsidRPr="000F0AF8" w14:paraId="70EF4874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D8F1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powyżej 12 miesięcy do 24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9B00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5CE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72A1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22,9%</w:t>
            </w:r>
          </w:p>
        </w:tc>
      </w:tr>
      <w:tr w:rsidR="000F0AF8" w:rsidRPr="000F0AF8" w14:paraId="00F8CC1B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6C4D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powyżej 24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8E93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9DFA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455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38,5%</w:t>
            </w:r>
          </w:p>
        </w:tc>
      </w:tr>
    </w:tbl>
    <w:p w14:paraId="33E51935" w14:textId="6FBED8F5" w:rsidR="009559B2" w:rsidRDefault="009559B2" w:rsidP="002646E3">
      <w:pPr>
        <w:ind w:right="1"/>
        <w:jc w:val="center"/>
      </w:pPr>
    </w:p>
    <w:p w14:paraId="0796156F" w14:textId="77777777" w:rsidR="002B3134" w:rsidRPr="00E4649E" w:rsidRDefault="002B3134" w:rsidP="002646E3">
      <w:pPr>
        <w:ind w:right="1"/>
        <w:jc w:val="center"/>
      </w:pPr>
    </w:p>
    <w:p w14:paraId="3DFA93AB" w14:textId="412108D0" w:rsidR="008F0CE8" w:rsidRPr="00E4649E" w:rsidRDefault="008F0CE8" w:rsidP="008F0CE8"/>
    <w:p w14:paraId="45A94850" w14:textId="1BC7F126" w:rsidR="00E7692C" w:rsidRDefault="000F0AF8" w:rsidP="009559B2">
      <w:pPr>
        <w:jc w:val="both"/>
      </w:pPr>
      <w:r>
        <w:t xml:space="preserve">Odsetek obywateli Ukrainy od 3 lat utrzymuje się na podobnym poziomie. </w:t>
      </w:r>
      <w:r w:rsidR="00632B13" w:rsidRPr="00E4649E">
        <w:t>Najliczniejsz</w:t>
      </w:r>
      <w:r w:rsidR="00632B13">
        <w:t>a</w:t>
      </w:r>
      <w:r w:rsidR="00632B13" w:rsidRPr="00E4649E">
        <w:t xml:space="preserve"> </w:t>
      </w:r>
      <w:r w:rsidR="00632B13">
        <w:t xml:space="preserve">grupa cudzoziemców </w:t>
      </w:r>
      <w:r>
        <w:t xml:space="preserve">zatrudniana w 2020 roku, </w:t>
      </w:r>
      <w:r w:rsidR="00632B13">
        <w:t xml:space="preserve">na zezwoleniach na pracę to </w:t>
      </w:r>
      <w:r w:rsidR="00244AD3">
        <w:t xml:space="preserve">obywatele </w:t>
      </w:r>
      <w:r w:rsidR="00545652" w:rsidRPr="00E4649E">
        <w:t xml:space="preserve">Ukrainy, w sumie 73% ogółu wydanych zezwoleń. </w:t>
      </w:r>
      <w:r w:rsidRPr="00E4649E">
        <w:t xml:space="preserve"> </w:t>
      </w:r>
      <w:r>
        <w:t xml:space="preserve">Należy jednak pamiętać, że w liczbach bezwzględnych </w:t>
      </w:r>
      <w:r w:rsidR="00E7692C">
        <w:t xml:space="preserve">po </w:t>
      </w:r>
      <w:r w:rsidR="00AF1050">
        <w:t xml:space="preserve">znacznym </w:t>
      </w:r>
      <w:r w:rsidR="00E7692C">
        <w:t xml:space="preserve">wzroście w 2019 roku o 39% w stosunku do roku 2018, nastąpił nieduży spadek wydawanych zezwoleń o 9% w 2020 roku. </w:t>
      </w:r>
    </w:p>
    <w:p w14:paraId="2B5BEF93" w14:textId="34008441" w:rsidR="00545652" w:rsidRDefault="00E7692C" w:rsidP="009559B2">
      <w:pPr>
        <w:jc w:val="both"/>
      </w:pPr>
      <w:r>
        <w:t>Obywatele Białorusi podobnie w 2019 roku chętniej podejmowali pracę w Polsce – wzrost w stosunku do roku 2018 o 41% i dalszy w 2020 roku o 3% w stosunku do 2019 roku.</w:t>
      </w:r>
    </w:p>
    <w:p w14:paraId="12DE7161" w14:textId="49DF570E" w:rsidR="00E7692C" w:rsidRDefault="00E7692C" w:rsidP="009559B2">
      <w:pPr>
        <w:jc w:val="both"/>
      </w:pPr>
      <w:r>
        <w:t xml:space="preserve">Inna sytuacja dotyczyła obywateli Nepalu, w przypadku których odnotowano spadek w stosunku do roku ubiegłego zarówno w 2019 roku o </w:t>
      </w:r>
      <w:r w:rsidR="0011108B">
        <w:t>54</w:t>
      </w:r>
      <w:r>
        <w:t xml:space="preserve">% jak i 2020 roku o </w:t>
      </w:r>
      <w:r w:rsidR="0011108B">
        <w:t>37</w:t>
      </w:r>
      <w:r>
        <w:t>%</w:t>
      </w:r>
      <w:r w:rsidR="0011108B">
        <w:t>.</w:t>
      </w:r>
    </w:p>
    <w:p w14:paraId="181B8922" w14:textId="096A63F5" w:rsidR="0011108B" w:rsidRDefault="0011108B" w:rsidP="009559B2">
      <w:pPr>
        <w:jc w:val="both"/>
      </w:pPr>
      <w:r>
        <w:t>Spadki w 2020 roku dotyczyły również obywateli Mołdawii, Bangladeszu oraz Uzbekistanu i Azerbejdżanu. Wzrost natomiast dotyczył obywateli Indii, Gruzji oraz Filipin.</w:t>
      </w:r>
    </w:p>
    <w:p w14:paraId="51895617" w14:textId="1CB89104" w:rsidR="00D31747" w:rsidRDefault="00D31747" w:rsidP="009559B2">
      <w:pPr>
        <w:jc w:val="both"/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960"/>
        <w:gridCol w:w="960"/>
        <w:gridCol w:w="960"/>
        <w:gridCol w:w="1500"/>
      </w:tblGrid>
      <w:tr w:rsidR="000F0AF8" w:rsidRPr="000F0AF8" w14:paraId="764C924C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46374C3" w14:textId="77777777" w:rsidR="000F0AF8" w:rsidRPr="000F0AF8" w:rsidRDefault="000F0AF8" w:rsidP="000F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Obywatelstwo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68324EB" w14:textId="77777777" w:rsidR="000F0AF8" w:rsidRPr="000F0AF8" w:rsidRDefault="000F0AF8" w:rsidP="000F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02C4188" w14:textId="77777777" w:rsidR="000F0AF8" w:rsidRPr="000F0AF8" w:rsidRDefault="000F0AF8" w:rsidP="000F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CDAE967" w14:textId="77777777" w:rsidR="000F0AF8" w:rsidRPr="000F0AF8" w:rsidRDefault="000F0AF8" w:rsidP="000F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538FCF2" w14:textId="77777777" w:rsidR="000F0AF8" w:rsidRPr="000F0AF8" w:rsidRDefault="000F0AF8" w:rsidP="000F0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0F0AF8" w:rsidRPr="000F0AF8" w14:paraId="0E0FA353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6B43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Ukraina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AB4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240561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24D9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335540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8388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306426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C50E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882527</w:t>
            </w:r>
          </w:p>
        </w:tc>
      </w:tr>
      <w:tr w:rsidR="000F0AF8" w:rsidRPr="000F0AF8" w14:paraId="106B80EC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56BC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Białoruś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2AE2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19324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0FF8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27207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7E33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27942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3F4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74473</w:t>
            </w:r>
          </w:p>
        </w:tc>
      </w:tr>
      <w:tr w:rsidR="000F0AF8" w:rsidRPr="000F0AF8" w14:paraId="04854B20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9F1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B9C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20055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E32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9236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A492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5859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58E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35150</w:t>
            </w:r>
          </w:p>
        </w:tc>
      </w:tr>
      <w:tr w:rsidR="000F0AF8" w:rsidRPr="000F0AF8" w14:paraId="63842EBE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97E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Indie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A975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8427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E0AB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8117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E101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8517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B7E2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25061</w:t>
            </w:r>
          </w:p>
        </w:tc>
      </w:tr>
      <w:tr w:rsidR="000F0AF8" w:rsidRPr="000F0AF8" w14:paraId="63CAC921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077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Mołdawia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4F39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6126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F6F4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8474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FCB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7928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75C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22528</w:t>
            </w:r>
          </w:p>
        </w:tc>
      </w:tr>
      <w:tr w:rsidR="000F0AF8" w:rsidRPr="000F0AF8" w14:paraId="0A7E912E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67B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Bangladesz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E151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8394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91CD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7081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A37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4006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A374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19481</w:t>
            </w:r>
          </w:p>
        </w:tc>
      </w:tr>
      <w:tr w:rsidR="000F0AF8" w:rsidRPr="000F0AF8" w14:paraId="027636E5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44E3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Gruzja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94A1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A7FF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7588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D4B9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8559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D68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18922</w:t>
            </w:r>
          </w:p>
        </w:tc>
      </w:tr>
      <w:tr w:rsidR="000F0AF8" w:rsidRPr="000F0AF8" w14:paraId="01BD84BC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A930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Filipiny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608A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79F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6554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EF0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7779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585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16407</w:t>
            </w:r>
          </w:p>
        </w:tc>
      </w:tr>
      <w:tr w:rsidR="000F0AF8" w:rsidRPr="000F0AF8" w14:paraId="69497725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5AF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Uzbekistan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BCEB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4E5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6379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A0A5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6015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06A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15061</w:t>
            </w:r>
          </w:p>
        </w:tc>
      </w:tr>
      <w:tr w:rsidR="000F0AF8" w:rsidRPr="000F0AF8" w14:paraId="6ABD3F45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BFD3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Azerbejdżan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E561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3312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161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825E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2271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4FD3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8802</w:t>
            </w:r>
          </w:p>
        </w:tc>
      </w:tr>
      <w:tr w:rsidR="000F0AF8" w:rsidRPr="000F0AF8" w14:paraId="2B118A6C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304D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Pozostałe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EBF0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17981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3AAA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31511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7BED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36309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09B7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color w:val="000000"/>
                <w:lang w:eastAsia="pl-PL"/>
              </w:rPr>
              <w:t>85801</w:t>
            </w:r>
          </w:p>
        </w:tc>
      </w:tr>
      <w:tr w:rsidR="000F0AF8" w:rsidRPr="000F0AF8" w14:paraId="165D4167" w14:textId="77777777" w:rsidTr="002646E3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F81C03" w14:textId="77777777" w:rsidR="000F0AF8" w:rsidRPr="000F0AF8" w:rsidRDefault="000F0AF8" w:rsidP="000F0A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578391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5F41C4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450906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6AF237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421611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DB050B" w14:textId="77777777" w:rsidR="000F0AF8" w:rsidRPr="000F0AF8" w:rsidRDefault="000F0AF8" w:rsidP="000F0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A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1204213</w:t>
            </w:r>
          </w:p>
        </w:tc>
      </w:tr>
    </w:tbl>
    <w:p w14:paraId="6019FC93" w14:textId="5FFB6C7E" w:rsidR="00545652" w:rsidRPr="00E4649E" w:rsidRDefault="00545652" w:rsidP="008F0CE8"/>
    <w:p w14:paraId="4BAD9C05" w14:textId="77777777" w:rsidR="003B2719" w:rsidRDefault="003B2719" w:rsidP="003B2719">
      <w:pPr>
        <w:jc w:val="both"/>
      </w:pPr>
    </w:p>
    <w:p w14:paraId="66D73B57" w14:textId="1D8CAF02" w:rsidR="008F0CE8" w:rsidRPr="00E31849" w:rsidRDefault="008F0CE8" w:rsidP="00E31849">
      <w:pPr>
        <w:pStyle w:val="Akapitzlist"/>
        <w:numPr>
          <w:ilvl w:val="0"/>
          <w:numId w:val="27"/>
        </w:numPr>
        <w:jc w:val="both"/>
        <w:rPr>
          <w:b/>
          <w:color w:val="1F4E79" w:themeColor="accent1" w:themeShade="80"/>
        </w:rPr>
      </w:pPr>
      <w:r w:rsidRPr="00E31849">
        <w:rPr>
          <w:b/>
          <w:color w:val="1F4E79" w:themeColor="accent1" w:themeShade="80"/>
        </w:rPr>
        <w:t>Oświadczenia o powierzeniu wykonywania pracy cudzoziemcowi</w:t>
      </w:r>
    </w:p>
    <w:p w14:paraId="6B97B064" w14:textId="4D6240F5" w:rsidR="008F0CE8" w:rsidRPr="00E4649E" w:rsidRDefault="008F0CE8" w:rsidP="002646E3">
      <w:pPr>
        <w:jc w:val="both"/>
        <w:rPr>
          <w:rFonts w:cs="Courier New"/>
          <w:color w:val="000000"/>
          <w:lang w:eastAsia="pl-PL"/>
        </w:rPr>
      </w:pPr>
      <w:r w:rsidRPr="00E4649E">
        <w:rPr>
          <w:rFonts w:cs="Courier New"/>
          <w:color w:val="000000"/>
          <w:lang w:eastAsia="pl-PL"/>
        </w:rPr>
        <w:t xml:space="preserve">Rozwiązanie to (zwane inaczej „procedurą </w:t>
      </w:r>
      <w:proofErr w:type="spellStart"/>
      <w:r w:rsidRPr="00E4649E">
        <w:rPr>
          <w:rFonts w:cs="Courier New"/>
          <w:color w:val="000000"/>
          <w:lang w:eastAsia="pl-PL"/>
        </w:rPr>
        <w:t>oświadczeniową</w:t>
      </w:r>
      <w:proofErr w:type="spellEnd"/>
      <w:r w:rsidRPr="00E4649E">
        <w:rPr>
          <w:rFonts w:cs="Courier New"/>
          <w:color w:val="000000"/>
          <w:lang w:eastAsia="pl-PL"/>
        </w:rPr>
        <w:t>”</w:t>
      </w:r>
      <w:r w:rsidR="00244AD3">
        <w:rPr>
          <w:rFonts w:cs="Courier New"/>
          <w:color w:val="000000"/>
          <w:lang w:eastAsia="pl-PL"/>
        </w:rPr>
        <w:t xml:space="preserve"> lub „uproszczoną”</w:t>
      </w:r>
      <w:r w:rsidRPr="00E4649E">
        <w:rPr>
          <w:rFonts w:cs="Courier New"/>
          <w:color w:val="000000"/>
          <w:lang w:eastAsia="pl-PL"/>
        </w:rPr>
        <w:t xml:space="preserve">) dotyczy obywateli 6 państw: </w:t>
      </w:r>
      <w:r w:rsidRPr="00E4649E">
        <w:rPr>
          <w:rFonts w:cs="Courier New"/>
          <w:b/>
          <w:color w:val="000000"/>
          <w:lang w:eastAsia="pl-PL"/>
        </w:rPr>
        <w:t>Armenii, Białorusi, Gruzji, Mołdawii, Rosji i Ukrainy</w:t>
      </w:r>
      <w:r w:rsidRPr="00E4649E">
        <w:rPr>
          <w:rFonts w:cs="Courier New"/>
          <w:color w:val="000000"/>
          <w:lang w:eastAsia="pl-PL"/>
        </w:rPr>
        <w:t xml:space="preserve">. Pozwala ono uzyskać zgodę na wykonywanie pracy </w:t>
      </w:r>
      <w:r w:rsidR="00121A0F">
        <w:rPr>
          <w:rFonts w:cs="Courier New"/>
          <w:color w:val="000000"/>
          <w:lang w:eastAsia="pl-PL"/>
        </w:rPr>
        <w:t xml:space="preserve">– bez  konieczności uzyskania zezwolenia na pracę - </w:t>
      </w:r>
      <w:r w:rsidRPr="00E4649E">
        <w:rPr>
          <w:rFonts w:cs="Courier New"/>
          <w:color w:val="000000"/>
          <w:lang w:eastAsia="pl-PL"/>
        </w:rPr>
        <w:t>przez 6 miesięcy w ciągu kolejnych 12 miesięcy w działach gospodarki (podklasach PKD) niezwiązanych z pracami sezonowymi. Warunkiem skorzystania z procedury uproszczonej jest otrzymanie przez pracodawcę wpisu</w:t>
      </w:r>
      <w:r w:rsidR="00AD552E">
        <w:rPr>
          <w:rFonts w:cs="Courier New"/>
          <w:color w:val="000000"/>
          <w:lang w:eastAsia="pl-PL"/>
        </w:rPr>
        <w:t xml:space="preserve"> </w:t>
      </w:r>
      <w:r w:rsidRPr="00E4649E">
        <w:rPr>
          <w:rFonts w:cs="Courier New"/>
          <w:color w:val="000000"/>
          <w:lang w:eastAsia="pl-PL"/>
        </w:rPr>
        <w:t>do ewidencji oświadczeń w powiatowym urzędzie pracy oraz posiadanie przez cudzoziemca dokumentu potwierdzającego tytuł pobytowy w RP.</w:t>
      </w:r>
      <w:r w:rsidR="00537733" w:rsidRPr="00E4649E">
        <w:rPr>
          <w:rFonts w:cs="Courier New"/>
          <w:color w:val="000000"/>
          <w:lang w:eastAsia="pl-PL"/>
        </w:rPr>
        <w:t xml:space="preserve"> Aby uzyskać wpis do </w:t>
      </w:r>
      <w:r w:rsidR="00537733" w:rsidRPr="00E4649E">
        <w:rPr>
          <w:rFonts w:cs="Courier New"/>
          <w:color w:val="000000"/>
          <w:lang w:eastAsia="pl-PL"/>
        </w:rPr>
        <w:lastRenderedPageBreak/>
        <w:t>ewidencji</w:t>
      </w:r>
      <w:r w:rsidR="00537733" w:rsidRPr="00E4649E">
        <w:rPr>
          <w:rFonts w:cs="Courier New"/>
          <w:b/>
          <w:color w:val="000000"/>
          <w:lang w:eastAsia="pl-PL"/>
        </w:rPr>
        <w:t xml:space="preserve"> </w:t>
      </w:r>
      <w:r w:rsidR="00DF1517" w:rsidRPr="00C448A5">
        <w:rPr>
          <w:rFonts w:cs="Courier New"/>
          <w:color w:val="000000"/>
          <w:lang w:eastAsia="pl-PL"/>
        </w:rPr>
        <w:t>oświadczeń,</w:t>
      </w:r>
      <w:r w:rsidR="00DF1517">
        <w:rPr>
          <w:rFonts w:cs="Courier New"/>
          <w:b/>
          <w:color w:val="000000"/>
          <w:lang w:eastAsia="pl-PL"/>
        </w:rPr>
        <w:t xml:space="preserve"> </w:t>
      </w:r>
      <w:r w:rsidR="00BC0D2C">
        <w:rPr>
          <w:rFonts w:cs="Courier New"/>
          <w:b/>
          <w:color w:val="000000"/>
          <w:lang w:eastAsia="pl-PL"/>
        </w:rPr>
        <w:t>p</w:t>
      </w:r>
      <w:r w:rsidRPr="00E4649E">
        <w:rPr>
          <w:rFonts w:cs="Courier New"/>
          <w:b/>
          <w:color w:val="000000"/>
          <w:lang w:eastAsia="pl-PL"/>
        </w:rPr>
        <w:t xml:space="preserve">racodawca składa oświadczenie w </w:t>
      </w:r>
      <w:r w:rsidR="00616CE4">
        <w:rPr>
          <w:rFonts w:cs="Courier New"/>
          <w:b/>
          <w:color w:val="000000"/>
          <w:lang w:eastAsia="pl-PL"/>
        </w:rPr>
        <w:t>powiatowy</w:t>
      </w:r>
      <w:r w:rsidR="00FF15AC">
        <w:rPr>
          <w:rFonts w:cs="Courier New"/>
          <w:b/>
          <w:color w:val="000000"/>
          <w:lang w:eastAsia="pl-PL"/>
        </w:rPr>
        <w:t>m</w:t>
      </w:r>
      <w:r w:rsidR="00616CE4">
        <w:rPr>
          <w:rFonts w:cs="Courier New"/>
          <w:b/>
          <w:color w:val="000000"/>
          <w:lang w:eastAsia="pl-PL"/>
        </w:rPr>
        <w:t xml:space="preserve"> </w:t>
      </w:r>
      <w:r w:rsidR="00FF15AC">
        <w:rPr>
          <w:rFonts w:cs="Courier New"/>
          <w:b/>
          <w:color w:val="000000"/>
          <w:lang w:eastAsia="pl-PL"/>
        </w:rPr>
        <w:t xml:space="preserve">urzędzie </w:t>
      </w:r>
      <w:r w:rsidR="00616CE4">
        <w:rPr>
          <w:rFonts w:cs="Courier New"/>
          <w:b/>
          <w:color w:val="000000"/>
          <w:lang w:eastAsia="pl-PL"/>
        </w:rPr>
        <w:t>pracy</w:t>
      </w:r>
      <w:r w:rsidR="00DF1517">
        <w:rPr>
          <w:rFonts w:cs="Courier New"/>
          <w:color w:val="000000"/>
          <w:lang w:eastAsia="pl-PL"/>
        </w:rPr>
        <w:t>.</w:t>
      </w:r>
      <w:r w:rsidRPr="00E4649E">
        <w:rPr>
          <w:rFonts w:cs="Courier New"/>
          <w:color w:val="000000"/>
          <w:lang w:eastAsia="pl-PL"/>
        </w:rPr>
        <w:t xml:space="preserve"> W ciągu 7 dni roboczych od dnia otrzymania oświadczenia starosta wpisuje oświadczenie do ewidencji </w:t>
      </w:r>
      <w:r w:rsidR="00DF1517">
        <w:rPr>
          <w:rFonts w:cs="Courier New"/>
          <w:color w:val="000000"/>
          <w:lang w:eastAsia="pl-PL"/>
        </w:rPr>
        <w:t xml:space="preserve">oświadczeń </w:t>
      </w:r>
      <w:r w:rsidRPr="00E4649E">
        <w:rPr>
          <w:rFonts w:cs="Courier New"/>
          <w:color w:val="000000"/>
          <w:lang w:eastAsia="pl-PL"/>
        </w:rPr>
        <w:t>(w sprawach wymagających dodatkowych wyjaśnień</w:t>
      </w:r>
      <w:r w:rsidR="00121A0F">
        <w:rPr>
          <w:rFonts w:cs="Courier New"/>
          <w:color w:val="000000"/>
          <w:lang w:eastAsia="pl-PL"/>
        </w:rPr>
        <w:t xml:space="preserve"> jest to 30 dni</w:t>
      </w:r>
      <w:r w:rsidRPr="00E4649E">
        <w:rPr>
          <w:rFonts w:cs="Courier New"/>
          <w:color w:val="000000"/>
          <w:lang w:eastAsia="pl-PL"/>
        </w:rPr>
        <w:t xml:space="preserve">) lub </w:t>
      </w:r>
      <w:r w:rsidRPr="00E4649E">
        <w:rPr>
          <w:rFonts w:cs="Courier New"/>
          <w:b/>
          <w:color w:val="000000"/>
          <w:lang w:eastAsia="pl-PL"/>
        </w:rPr>
        <w:t>w drodze decyzji administracyjnej odmawia wpisu</w:t>
      </w:r>
      <w:r w:rsidRPr="00E4649E">
        <w:rPr>
          <w:rFonts w:cs="Courier New"/>
          <w:color w:val="000000"/>
          <w:lang w:eastAsia="pl-PL"/>
        </w:rPr>
        <w:t>.</w:t>
      </w:r>
      <w:r w:rsidR="00537733" w:rsidRPr="00E4649E">
        <w:rPr>
          <w:rFonts w:cs="Courier New"/>
          <w:color w:val="000000"/>
          <w:lang w:eastAsia="pl-PL"/>
        </w:rPr>
        <w:t xml:space="preserve"> </w:t>
      </w:r>
      <w:r w:rsidRPr="00E4649E">
        <w:rPr>
          <w:rFonts w:cs="Courier New"/>
          <w:color w:val="000000"/>
          <w:lang w:eastAsia="pl-PL"/>
        </w:rPr>
        <w:t>Jeśli cudzoziemiec przebywa za granicą i nie ma ważnego dokumentu pobytowego, to składa on wniosek o wydanie wizy w polskim konsulacie (ew. wjeżdża w ramach ruchu bezwizowego, co pozwala na pobyt i pracę do 3 miesięcy, po tym terminie cudzoziemiec musi uzyskać np. ze</w:t>
      </w:r>
      <w:r w:rsidR="00537733" w:rsidRPr="00E4649E">
        <w:rPr>
          <w:rFonts w:cs="Courier New"/>
          <w:color w:val="000000"/>
          <w:lang w:eastAsia="pl-PL"/>
        </w:rPr>
        <w:t>zwolenie na pobyt</w:t>
      </w:r>
      <w:r w:rsidRPr="00E4649E">
        <w:rPr>
          <w:rFonts w:cs="Courier New"/>
          <w:color w:val="000000"/>
          <w:lang w:eastAsia="pl-PL"/>
        </w:rPr>
        <w:t>).</w:t>
      </w:r>
    </w:p>
    <w:p w14:paraId="16E5C233" w14:textId="77777777" w:rsidR="002B3134" w:rsidRDefault="002B3134" w:rsidP="002646E3">
      <w:pPr>
        <w:ind w:right="1"/>
        <w:jc w:val="both"/>
        <w:rPr>
          <w:b/>
        </w:rPr>
      </w:pPr>
    </w:p>
    <w:p w14:paraId="6314B2CA" w14:textId="4E00CEF8" w:rsidR="007F6580" w:rsidRPr="00E4649E" w:rsidRDefault="00537733" w:rsidP="009559B2">
      <w:pPr>
        <w:ind w:right="1"/>
        <w:jc w:val="both"/>
      </w:pPr>
      <w:r w:rsidRPr="00E4649E">
        <w:rPr>
          <w:b/>
        </w:rPr>
        <w:t>Średni czas trwania postępowania</w:t>
      </w:r>
      <w:r w:rsidRPr="00E4649E">
        <w:t xml:space="preserve"> w procedurze </w:t>
      </w:r>
      <w:r w:rsidR="00244AD3">
        <w:t>uproszczonej</w:t>
      </w:r>
      <w:r w:rsidR="00244AD3" w:rsidRPr="00E4649E">
        <w:t xml:space="preserve"> </w:t>
      </w:r>
      <w:r w:rsidRPr="00E4649E">
        <w:t xml:space="preserve">w 2020 roku </w:t>
      </w:r>
      <w:r w:rsidR="00244AD3">
        <w:t>wyniósł</w:t>
      </w:r>
      <w:r w:rsidR="00244AD3" w:rsidRPr="00E4649E">
        <w:t xml:space="preserve"> </w:t>
      </w:r>
      <w:r w:rsidRPr="00E4649E">
        <w:t xml:space="preserve">8 dni </w:t>
      </w:r>
      <w:r w:rsidR="00244AD3" w:rsidRPr="00244AD3">
        <w:t>,czyli 1 dzień dłużej w stosunku do roku poprzedniego</w:t>
      </w:r>
      <w:r w:rsidRPr="00E4649E">
        <w:t xml:space="preserve">. </w:t>
      </w:r>
      <w:r w:rsidR="00582F47" w:rsidRPr="00E4649E">
        <w:t xml:space="preserve">Spośród 340 </w:t>
      </w:r>
      <w:r w:rsidR="00616CE4">
        <w:t>powiatowych urzędów pracy</w:t>
      </w:r>
      <w:r w:rsidR="00582F47" w:rsidRPr="00E4649E">
        <w:t xml:space="preserve">, które obsługiwały tego typu sprawy jedynie w co </w:t>
      </w:r>
      <w:r w:rsidR="005230DC" w:rsidRPr="00E4649E">
        <w:t>10</w:t>
      </w:r>
      <w:r w:rsidR="00582F47" w:rsidRPr="00E4649E">
        <w:t>-tym nieznacznie przekracz</w:t>
      </w:r>
      <w:r w:rsidR="005230DC" w:rsidRPr="00E4649E">
        <w:t>any był termin procedowania oświadczenia</w:t>
      </w:r>
      <w:r w:rsidR="00FF15AC">
        <w:t xml:space="preserve">. </w:t>
      </w:r>
      <w:r w:rsidR="00071C4D">
        <w:br/>
      </w:r>
      <w:r w:rsidR="00FF15AC">
        <w:t>W 2020 roku p</w:t>
      </w:r>
      <w:r w:rsidR="005230DC" w:rsidRPr="00E4649E">
        <w:t xml:space="preserve">owiatowe UP dokonywały 5.9 </w:t>
      </w:r>
      <w:r w:rsidR="00005988" w:rsidRPr="00E4649E">
        <w:t>ty</w:t>
      </w:r>
      <w:r w:rsidR="00005988">
        <w:t>s</w:t>
      </w:r>
      <w:r w:rsidR="005230DC" w:rsidRPr="00E4649E">
        <w:t xml:space="preserve">. wpisów do ewidencji dziennie. W skali całego roku </w:t>
      </w:r>
      <w:r w:rsidR="005230DC" w:rsidRPr="00E4649E">
        <w:rPr>
          <w:b/>
        </w:rPr>
        <w:t xml:space="preserve">złożono 1 mln 594 </w:t>
      </w:r>
      <w:r w:rsidR="00005988" w:rsidRPr="00E4649E">
        <w:rPr>
          <w:b/>
        </w:rPr>
        <w:t>ty</w:t>
      </w:r>
      <w:r w:rsidR="00005988">
        <w:rPr>
          <w:b/>
        </w:rPr>
        <w:t>s</w:t>
      </w:r>
      <w:r w:rsidR="005230DC" w:rsidRPr="00E4649E">
        <w:rPr>
          <w:b/>
        </w:rPr>
        <w:t>. oświadczeń</w:t>
      </w:r>
      <w:r w:rsidR="005230DC" w:rsidRPr="00E4649E">
        <w:t xml:space="preserve"> a blisko </w:t>
      </w:r>
      <w:r w:rsidR="005230DC" w:rsidRPr="00E4649E">
        <w:rPr>
          <w:b/>
        </w:rPr>
        <w:t xml:space="preserve">1 mln 520 </w:t>
      </w:r>
      <w:r w:rsidR="00005988" w:rsidRPr="00E4649E">
        <w:rPr>
          <w:b/>
        </w:rPr>
        <w:t>ty</w:t>
      </w:r>
      <w:r w:rsidR="00005988">
        <w:rPr>
          <w:b/>
        </w:rPr>
        <w:t>s</w:t>
      </w:r>
      <w:r w:rsidR="005230DC" w:rsidRPr="00E4649E">
        <w:rPr>
          <w:b/>
        </w:rPr>
        <w:t>. zostało wpisanych do ewidencji</w:t>
      </w:r>
      <w:r w:rsidR="005230DC" w:rsidRPr="00E4649E">
        <w:t xml:space="preserve">. </w:t>
      </w:r>
      <w:r w:rsidR="00244AD3">
        <w:t>Odnotowano spadek liczby złożonych wniosków i wpisów o 7 % rok do roku.</w:t>
      </w:r>
      <w:r w:rsidR="009559B2">
        <w:t xml:space="preserve"> </w:t>
      </w:r>
      <w:r w:rsidR="00121A0F">
        <w:t>Za spadek odpowiadają przede wszystkim miesiące pierwszej fali pandemii</w:t>
      </w:r>
      <w:r w:rsidR="003F20E9" w:rsidRPr="00E4649E">
        <w:t>.</w:t>
      </w:r>
    </w:p>
    <w:p w14:paraId="40FDA1A3" w14:textId="657A3786" w:rsidR="007F6580" w:rsidRPr="00E4649E" w:rsidRDefault="003F20E9" w:rsidP="003F20E9">
      <w:pPr>
        <w:ind w:right="1"/>
        <w:jc w:val="center"/>
      </w:pPr>
      <w:r w:rsidRPr="00E4649E">
        <w:rPr>
          <w:noProof/>
          <w:lang w:eastAsia="pl-PL"/>
        </w:rPr>
        <w:drawing>
          <wp:inline distT="0" distB="0" distL="0" distR="0" wp14:anchorId="1CB102D9" wp14:editId="157883A9">
            <wp:extent cx="5354320" cy="245745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39E138E" w14:textId="79B221DE" w:rsidR="007F6580" w:rsidRPr="00E4649E" w:rsidRDefault="00CB2769" w:rsidP="009559B2">
      <w:pPr>
        <w:ind w:right="1"/>
        <w:jc w:val="both"/>
      </w:pPr>
      <w:r w:rsidRPr="00E4649E">
        <w:t>Cudzoziemcy</w:t>
      </w:r>
      <w:r w:rsidR="00244AD3" w:rsidRPr="00244AD3">
        <w:t>, którzy uzyskali wpis oświadczenia do ewidencji</w:t>
      </w:r>
      <w:r w:rsidR="00244AD3" w:rsidRPr="00244AD3" w:rsidDel="00244AD3">
        <w:t xml:space="preserve"> </w:t>
      </w:r>
      <w:r w:rsidRPr="00E4649E">
        <w:t xml:space="preserve">najczęściej wykonywali swoją pracę </w:t>
      </w:r>
      <w:r w:rsidR="009559B2">
        <w:br/>
      </w:r>
      <w:r w:rsidRPr="00E4649E">
        <w:t xml:space="preserve">w województwie mazowieckim </w:t>
      </w:r>
      <w:r w:rsidR="00CC3447">
        <w:t xml:space="preserve"> (</w:t>
      </w:r>
      <w:r w:rsidRPr="00E4649E">
        <w:t>19%</w:t>
      </w:r>
      <w:r w:rsidR="00CC3447">
        <w:t>)</w:t>
      </w:r>
      <w:r w:rsidRPr="00E4649E">
        <w:t xml:space="preserve">, dolnośląskim </w:t>
      </w:r>
      <w:r w:rsidR="00CC3447">
        <w:t>(</w:t>
      </w:r>
      <w:r w:rsidRPr="00E4649E">
        <w:t>14%</w:t>
      </w:r>
      <w:r w:rsidR="00CC3447">
        <w:t>)</w:t>
      </w:r>
      <w:r w:rsidRPr="00E4649E">
        <w:t xml:space="preserve"> oraz wielkopolskim </w:t>
      </w:r>
      <w:r w:rsidR="00CC3447">
        <w:t>(</w:t>
      </w:r>
      <w:r w:rsidRPr="00E4649E">
        <w:t>12%</w:t>
      </w:r>
      <w:r w:rsidR="00CC3447">
        <w:t>)</w:t>
      </w:r>
      <w:r w:rsidRPr="00E4649E">
        <w:t>,</w:t>
      </w:r>
      <w:r w:rsidR="000B6E6F">
        <w:t xml:space="preserve"> w tych przypadkach odnotowywano wzrost udziału w stosunku do roku 2019.</w:t>
      </w:r>
      <w:r w:rsidRPr="00E4649E">
        <w:t xml:space="preserve"> </w:t>
      </w:r>
      <w:r w:rsidR="000B6E6F">
        <w:t>N</w:t>
      </w:r>
      <w:r w:rsidRPr="00E4649E">
        <w:t xml:space="preserve">ajrzadziej </w:t>
      </w:r>
      <w:r w:rsidR="000B6E6F">
        <w:t xml:space="preserve"> oświadczenia wpisywane były </w:t>
      </w:r>
      <w:r w:rsidRPr="00E4649E">
        <w:t>w świętokrzyskim oraz podkarpackim po 1%.</w:t>
      </w:r>
    </w:p>
    <w:p w14:paraId="6EE522CF" w14:textId="67756505" w:rsidR="00450C99" w:rsidRPr="00E4649E" w:rsidRDefault="00450C99" w:rsidP="009559B2">
      <w:pPr>
        <w:ind w:right="1"/>
        <w:jc w:val="both"/>
      </w:pPr>
    </w:p>
    <w:p w14:paraId="6A55ED11" w14:textId="04B50F8A" w:rsidR="00377B4F" w:rsidRPr="00E4649E" w:rsidRDefault="00450C99" w:rsidP="00377B4F">
      <w:pPr>
        <w:ind w:right="1"/>
        <w:jc w:val="center"/>
      </w:pPr>
      <w:r w:rsidRPr="00E4649E">
        <w:rPr>
          <w:noProof/>
          <w:lang w:eastAsia="pl-PL"/>
        </w:rPr>
        <w:lastRenderedPageBreak/>
        <w:drawing>
          <wp:inline distT="0" distB="0" distL="0" distR="0" wp14:anchorId="21FAD640" wp14:editId="0DF940E6">
            <wp:extent cx="5991225" cy="36957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BC640BE" w14:textId="77777777" w:rsidR="00377B4F" w:rsidRPr="00E4649E" w:rsidRDefault="00377B4F" w:rsidP="00377B4F">
      <w:pPr>
        <w:ind w:right="568"/>
      </w:pPr>
    </w:p>
    <w:p w14:paraId="4945C297" w14:textId="77777777" w:rsidR="00D8379C" w:rsidRDefault="00D8379C" w:rsidP="009559B2">
      <w:pPr>
        <w:ind w:right="568"/>
        <w:jc w:val="both"/>
      </w:pPr>
    </w:p>
    <w:p w14:paraId="3E8C91B7" w14:textId="61B271A7" w:rsidR="000B6E6F" w:rsidRDefault="00377B4F" w:rsidP="009559B2">
      <w:pPr>
        <w:ind w:right="568"/>
        <w:jc w:val="both"/>
      </w:pPr>
      <w:r w:rsidRPr="00E4649E">
        <w:t>Wśród cudzoziemców, którzy uzyskali wpis oświadczenia do ewidencji w 2020 roku przeważali mężczyźni – 62%</w:t>
      </w:r>
      <w:r w:rsidR="000B6E6F">
        <w:t xml:space="preserve"> a według wieku, osoby w przedziale od</w:t>
      </w:r>
      <w:r w:rsidRPr="00E4649E">
        <w:t xml:space="preserve"> 25 do 44 lat</w:t>
      </w:r>
      <w:r w:rsidR="0050025D">
        <w:t xml:space="preserve"> – 55%</w:t>
      </w:r>
      <w:r w:rsidRPr="00E4649E">
        <w:t>.</w:t>
      </w:r>
      <w:r w:rsidR="000B6E6F">
        <w:t xml:space="preserve"> Wśród mężczyzn dominującą grupą były osoby w wieku od 25 do 34 lat (spadek z 34% na 33% w stosunku do 2019</w:t>
      </w:r>
      <w:r w:rsidR="00D8774A">
        <w:t xml:space="preserve"> </w:t>
      </w:r>
      <w:r w:rsidR="000B6E6F">
        <w:t xml:space="preserve">roku) a wśród kobiet </w:t>
      </w:r>
      <w:r w:rsidR="000B6E6F" w:rsidRPr="000B6E6F">
        <w:t>przeważały osoby w wieku 35-44 lat</w:t>
      </w:r>
      <w:r w:rsidR="000B6E6F">
        <w:t xml:space="preserve"> (spadek z 27% na 26% w stosunku do 2019 roku</w:t>
      </w:r>
      <w:r w:rsidR="00AF1050">
        <w:t>.</w:t>
      </w:r>
    </w:p>
    <w:p w14:paraId="6655F920" w14:textId="6F3E0D00" w:rsidR="00377B4F" w:rsidRPr="00E4649E" w:rsidRDefault="00377B4F" w:rsidP="00330F76">
      <w:pPr>
        <w:ind w:right="568"/>
        <w:jc w:val="center"/>
      </w:pPr>
    </w:p>
    <w:p w14:paraId="047269D7" w14:textId="24D8001B" w:rsidR="00D8379C" w:rsidRDefault="00D8379C" w:rsidP="002646E3">
      <w:pPr>
        <w:ind w:right="1"/>
        <w:jc w:val="center"/>
      </w:pPr>
      <w:r>
        <w:rPr>
          <w:noProof/>
          <w:lang w:eastAsia="pl-PL"/>
        </w:rPr>
        <w:drawing>
          <wp:inline distT="0" distB="0" distL="0" distR="0" wp14:anchorId="5FF114D5" wp14:editId="4D8CCDB0">
            <wp:extent cx="6067425" cy="3114675"/>
            <wp:effectExtent l="0" t="0" r="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C63F46F" w14:textId="08269EE0" w:rsidR="00487127" w:rsidRPr="00E4649E" w:rsidRDefault="00487127" w:rsidP="003B2719">
      <w:pPr>
        <w:ind w:right="1"/>
        <w:jc w:val="both"/>
      </w:pPr>
      <w:r w:rsidRPr="00E4649E">
        <w:t xml:space="preserve">Najliczniej cudzoziemcy na oświadczeniach w 2020 </w:t>
      </w:r>
      <w:r w:rsidR="00E61FA1">
        <w:t>roku</w:t>
      </w:r>
      <w:r w:rsidRPr="00E4649E">
        <w:t>. zatrudniani byli w następujących branżach: przetwórstwo przemysłowe</w:t>
      </w:r>
      <w:r w:rsidR="00BD5CB4" w:rsidRPr="00E4649E">
        <w:t xml:space="preserve"> - </w:t>
      </w:r>
      <w:r w:rsidRPr="00E4649E">
        <w:t>38%</w:t>
      </w:r>
      <w:r w:rsidR="00BD5CB4" w:rsidRPr="00E4649E">
        <w:t xml:space="preserve">,  </w:t>
      </w:r>
      <w:r w:rsidRPr="00E4649E">
        <w:t>Budownictwo</w:t>
      </w:r>
      <w:r w:rsidR="00BD5CB4" w:rsidRPr="00E4649E">
        <w:t xml:space="preserve"> - </w:t>
      </w:r>
      <w:r w:rsidRPr="00E4649E">
        <w:t>18%</w:t>
      </w:r>
      <w:r w:rsidR="00F02AC2">
        <w:t xml:space="preserve"> (spadek udziału w stosunku do 2019 roku o 2</w:t>
      </w:r>
      <w:r w:rsidR="00D8774A">
        <w:t xml:space="preserve"> punkty </w:t>
      </w:r>
      <w:r w:rsidR="00F02AC2">
        <w:lastRenderedPageBreak/>
        <w:t>%)</w:t>
      </w:r>
      <w:r w:rsidR="00BD5CB4" w:rsidRPr="00E4649E">
        <w:t xml:space="preserve">  </w:t>
      </w:r>
      <w:r w:rsidRPr="00E4649E">
        <w:t>Transport i gospodarka magazynowa</w:t>
      </w:r>
      <w:r w:rsidR="00BD5CB4" w:rsidRPr="00E4649E">
        <w:t xml:space="preserve"> - </w:t>
      </w:r>
      <w:r w:rsidRPr="00E4649E">
        <w:t>17%</w:t>
      </w:r>
      <w:r w:rsidR="00F02AC2">
        <w:t xml:space="preserve"> (wzrost udziału o 3</w:t>
      </w:r>
      <w:r w:rsidR="00D8774A">
        <w:t xml:space="preserve"> punkty </w:t>
      </w:r>
      <w:r w:rsidR="00F02AC2">
        <w:t>% w stosunku do 2019 roku)</w:t>
      </w:r>
      <w:r w:rsidR="00BD5CB4" w:rsidRPr="00E4649E">
        <w:t xml:space="preserve">, </w:t>
      </w:r>
      <w:r w:rsidRPr="00E4649E">
        <w:t>Działalność w zakresie usług administrowania i działalność wspierająca</w:t>
      </w:r>
      <w:r w:rsidR="00BD5CB4" w:rsidRPr="00E4649E">
        <w:t xml:space="preserve"> - </w:t>
      </w:r>
      <w:r w:rsidRPr="00E4649E">
        <w:t>15%</w:t>
      </w:r>
      <w:r w:rsidR="00121A0F">
        <w:t xml:space="preserve"> (w tej branży znaczny odsetek stanowią agencje pracy tymczasowej)</w:t>
      </w:r>
      <w:r w:rsidR="00BD5CB4" w:rsidRPr="00E4649E">
        <w:t xml:space="preserve">,  </w:t>
      </w:r>
      <w:r w:rsidRPr="00E4649E">
        <w:t>Pozostałe</w:t>
      </w:r>
      <w:r w:rsidR="00BD5CB4" w:rsidRPr="00E4649E">
        <w:t xml:space="preserve"> - </w:t>
      </w:r>
      <w:r w:rsidRPr="00E4649E">
        <w:t>13%</w:t>
      </w:r>
    </w:p>
    <w:p w14:paraId="49F77897" w14:textId="602CD0CE" w:rsidR="00487127" w:rsidRPr="00E4649E" w:rsidRDefault="00487127" w:rsidP="00CB2769">
      <w:pPr>
        <w:ind w:right="1"/>
      </w:pPr>
      <w:r w:rsidRPr="00E4649E">
        <w:rPr>
          <w:noProof/>
          <w:lang w:eastAsia="pl-PL"/>
        </w:rPr>
        <w:drawing>
          <wp:inline distT="0" distB="0" distL="0" distR="0" wp14:anchorId="1E914809" wp14:editId="0808DB69">
            <wp:extent cx="6153150" cy="4410075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25365C0" w14:textId="1313CD86" w:rsidR="00377B4F" w:rsidRPr="00E4649E" w:rsidRDefault="00377B4F" w:rsidP="00CB2769">
      <w:pPr>
        <w:ind w:right="1"/>
      </w:pPr>
    </w:p>
    <w:p w14:paraId="622B9310" w14:textId="607AFFB1" w:rsidR="00F02AC2" w:rsidRDefault="00F02AC2" w:rsidP="003B2719">
      <w:pPr>
        <w:ind w:right="1"/>
        <w:jc w:val="both"/>
      </w:pPr>
      <w:r>
        <w:t>Podobnie jak w latach ubiegłych, c</w:t>
      </w:r>
      <w:r w:rsidR="004B40F2" w:rsidRPr="00E4649E">
        <w:t xml:space="preserve">udzoziemcy </w:t>
      </w:r>
      <w:r w:rsidR="006A0969">
        <w:t xml:space="preserve">najczęściej </w:t>
      </w:r>
      <w:r w:rsidR="004B40F2" w:rsidRPr="00E4649E">
        <w:t>byli</w:t>
      </w:r>
      <w:r w:rsidR="00632B13">
        <w:t xml:space="preserve"> zatrudnieni </w:t>
      </w:r>
      <w:r w:rsidR="004B40F2" w:rsidRPr="00E4649E">
        <w:t xml:space="preserve"> na stanowiskach jako: pracownicy wykonujący prace proste – 50%</w:t>
      </w:r>
      <w:r>
        <w:t xml:space="preserve"> (wzrost udziału o 1 </w:t>
      </w:r>
      <w:r w:rsidR="00D8774A">
        <w:t xml:space="preserve">punkt </w:t>
      </w:r>
      <w:r>
        <w:t>%)</w:t>
      </w:r>
      <w:r w:rsidR="004B40F2" w:rsidRPr="00E4649E">
        <w:t>, robotnicy przemysłowi i rzemieślnicy – 22%</w:t>
      </w:r>
      <w:r>
        <w:t xml:space="preserve"> (spadek udziału o 2</w:t>
      </w:r>
      <w:r w:rsidR="00D8774A">
        <w:t xml:space="preserve"> punkty </w:t>
      </w:r>
      <w:r>
        <w:t>%)</w:t>
      </w:r>
      <w:r w:rsidR="004B40F2" w:rsidRPr="00E4649E">
        <w:t>, operatorzy i monterzy maszyn i urządzeń – 13 %, pracownicy biurowi – 7%, Pozostałe – 17%,</w:t>
      </w:r>
      <w:r w:rsidR="00AF1050">
        <w:t>.</w:t>
      </w:r>
    </w:p>
    <w:p w14:paraId="24507218" w14:textId="69B00EAD" w:rsidR="00F02AC2" w:rsidRDefault="00EC4F0F" w:rsidP="003B2719">
      <w:pPr>
        <w:ind w:right="1"/>
        <w:jc w:val="both"/>
      </w:pPr>
      <w:r>
        <w:t>Osoby, które otrzymały wpis do ewidencji w 2020 pracowa</w:t>
      </w:r>
      <w:r w:rsidR="00AF1050">
        <w:t>ły</w:t>
      </w:r>
      <w:r>
        <w:t xml:space="preserve"> w Polsce </w:t>
      </w:r>
      <w:r w:rsidR="004B40F2" w:rsidRPr="00E4649E">
        <w:t>głównie na umowę zlecenie (74%)</w:t>
      </w:r>
      <w:r>
        <w:t xml:space="preserve"> – odnotowano tu wzrost udziału tej kategorii umów, w stosunku do roku ubiegłego o 4% a w stosunku do 2018 roku aż o 8%.</w:t>
      </w:r>
      <w:r w:rsidR="004B40F2" w:rsidRPr="00E4649E">
        <w:t xml:space="preserve"> </w:t>
      </w:r>
      <w:r>
        <w:t>U</w:t>
      </w:r>
      <w:r w:rsidRPr="00E4649E">
        <w:t>mow</w:t>
      </w:r>
      <w:r>
        <w:t>a</w:t>
      </w:r>
      <w:r w:rsidRPr="00E4649E">
        <w:t xml:space="preserve"> </w:t>
      </w:r>
      <w:r w:rsidR="004B40F2" w:rsidRPr="00E4649E">
        <w:t xml:space="preserve">o pracę </w:t>
      </w:r>
      <w:r>
        <w:t>stanowiła 24%</w:t>
      </w:r>
      <w:r w:rsidR="004B40F2" w:rsidRPr="00E4649E">
        <w:t xml:space="preserve"> </w:t>
      </w:r>
      <w:r>
        <w:t>wszystkich umów – spadek udziału o 4% w stosunku do 2019 roku i o 7% w stosunku do 2018 roku.</w:t>
      </w:r>
    </w:p>
    <w:p w14:paraId="79C03743" w14:textId="6488E0DA" w:rsidR="004B40F2" w:rsidRPr="00E4649E" w:rsidRDefault="00EC4F0F" w:rsidP="003B2719">
      <w:pPr>
        <w:ind w:right="1"/>
        <w:jc w:val="both"/>
      </w:pPr>
      <w:r>
        <w:t>Najczęściej w 2020 roku cudzoziemcy zatrudniani byli na</w:t>
      </w:r>
      <w:r w:rsidR="004B40F2" w:rsidRPr="00E4649E">
        <w:t xml:space="preserve"> okres powyżej 90 dni – 65%.</w:t>
      </w:r>
      <w:r>
        <w:t xml:space="preserve"> Podobnie było w latach 2018-2019. Przy czym wrósł nieznacznie odsetek osób, które zatrudniane były na okres do 30 dni (odpowiednio w latach 2018-2020, 1%, 2%, 3%)</w:t>
      </w:r>
    </w:p>
    <w:p w14:paraId="4F046796" w14:textId="651B11F6" w:rsidR="0034297C" w:rsidRDefault="00962895" w:rsidP="003B2719">
      <w:pPr>
        <w:ind w:right="1"/>
        <w:jc w:val="both"/>
      </w:pPr>
      <w:r w:rsidRPr="00E4649E">
        <w:t xml:space="preserve">Najliczniejszymi reprezentantami grupy pracowników z oświadczeniami wpisanymi do ewidencji byli </w:t>
      </w:r>
      <w:r w:rsidR="00244AD3">
        <w:t>obywatele</w:t>
      </w:r>
      <w:r w:rsidRPr="00E4649E">
        <w:t xml:space="preserve"> Ukrainy, w sumie 87,5% ogółu wydanych zezwoleń</w:t>
      </w:r>
      <w:r w:rsidR="006A0969">
        <w:t xml:space="preserve">, co stanowi wyraźny spadek </w:t>
      </w:r>
      <w:r w:rsidR="0034297C">
        <w:t xml:space="preserve">udziału </w:t>
      </w:r>
      <w:r w:rsidR="006A0969">
        <w:t>w porównaniu do lat ubiegłych</w:t>
      </w:r>
      <w:r w:rsidR="0034297C">
        <w:t>, o 2,5</w:t>
      </w:r>
      <w:r w:rsidR="00D8774A">
        <w:t xml:space="preserve"> punktu </w:t>
      </w:r>
      <w:r w:rsidR="0034297C">
        <w:t>% w stosunku do 2019 roku i o 3,9</w:t>
      </w:r>
      <w:r w:rsidR="00D8774A">
        <w:t xml:space="preserve"> punktu </w:t>
      </w:r>
      <w:r w:rsidR="0034297C">
        <w:t>% do 2018 roku. Odnotowano także nieznaczny spadek liczby obywateli Gruzji. Wzrosła natomiast liczba obywateli Białorusi i Mołdawii oraz Rosji i Armenii.</w:t>
      </w:r>
    </w:p>
    <w:p w14:paraId="12F72867" w14:textId="59D23FFD" w:rsidR="004B40F2" w:rsidRPr="00E4649E" w:rsidRDefault="004B40F2" w:rsidP="003B2719">
      <w:pPr>
        <w:ind w:right="1"/>
        <w:jc w:val="both"/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37"/>
        <w:gridCol w:w="992"/>
        <w:gridCol w:w="1134"/>
        <w:gridCol w:w="993"/>
        <w:gridCol w:w="1134"/>
        <w:gridCol w:w="992"/>
      </w:tblGrid>
      <w:tr w:rsidR="0034297C" w:rsidRPr="0034297C" w14:paraId="0290A958" w14:textId="77777777" w:rsidTr="002646E3">
        <w:trPr>
          <w:trHeight w:val="300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6ADE0C9" w14:textId="77777777" w:rsidR="0034297C" w:rsidRPr="0034297C" w:rsidRDefault="0034297C" w:rsidP="0034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Obywatelstwo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0795758F" w14:textId="77777777" w:rsidR="0034297C" w:rsidRPr="0034297C" w:rsidRDefault="0034297C" w:rsidP="0034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0BCBB037" w14:textId="77777777" w:rsidR="0034297C" w:rsidRPr="0034297C" w:rsidRDefault="0034297C" w:rsidP="0034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14:paraId="2033E97A" w14:textId="77777777" w:rsidR="0034297C" w:rsidRPr="0034297C" w:rsidRDefault="0034297C" w:rsidP="0034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2020</w:t>
            </w:r>
          </w:p>
        </w:tc>
      </w:tr>
      <w:tr w:rsidR="0034297C" w:rsidRPr="0034297C" w14:paraId="68B5F38D" w14:textId="77777777" w:rsidTr="002646E3">
        <w:trPr>
          <w:trHeight w:val="300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D350B" w14:textId="77777777" w:rsidR="0034297C" w:rsidRPr="0034297C" w:rsidRDefault="0034297C" w:rsidP="0034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A89096" w14:textId="77777777" w:rsidR="0034297C" w:rsidRPr="0034297C" w:rsidRDefault="0034297C" w:rsidP="0034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0BF8DB2" w14:textId="77777777" w:rsidR="0034297C" w:rsidRPr="0034297C" w:rsidRDefault="0034297C" w:rsidP="0034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ABDB99" w14:textId="77777777" w:rsidR="0034297C" w:rsidRPr="0034297C" w:rsidRDefault="0034297C" w:rsidP="0034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14792F" w14:textId="77777777" w:rsidR="0034297C" w:rsidRPr="0034297C" w:rsidRDefault="0034297C" w:rsidP="0034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F7A02F9" w14:textId="77777777" w:rsidR="0034297C" w:rsidRPr="0034297C" w:rsidRDefault="0034297C" w:rsidP="0034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D0F0E3" w14:textId="77777777" w:rsidR="0034297C" w:rsidRPr="0034297C" w:rsidRDefault="0034297C" w:rsidP="00342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%</w:t>
            </w:r>
          </w:p>
        </w:tc>
      </w:tr>
      <w:tr w:rsidR="0034297C" w:rsidRPr="0034297C" w14:paraId="5CC5BE0F" w14:textId="77777777" w:rsidTr="002646E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62E" w14:textId="77777777" w:rsidR="0034297C" w:rsidRPr="0034297C" w:rsidRDefault="0034297C" w:rsidP="0034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Ukraina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326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1444446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9ABC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91,4%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7A5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1475842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2DC5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90,0%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677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1329768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1A09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87,5%</w:t>
            </w:r>
          </w:p>
        </w:tc>
      </w:tr>
      <w:tr w:rsidR="0034297C" w:rsidRPr="0034297C" w14:paraId="053A25B8" w14:textId="77777777" w:rsidTr="002646E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29C8" w14:textId="77777777" w:rsidR="0034297C" w:rsidRPr="0034297C" w:rsidRDefault="0034297C" w:rsidP="0034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Białoruś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9973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62774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A8AB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46F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66050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67C5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DB6B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78922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C19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5,2%</w:t>
            </w:r>
          </w:p>
        </w:tc>
      </w:tr>
      <w:tr w:rsidR="0034297C" w:rsidRPr="0034297C" w14:paraId="007B5349" w14:textId="77777777" w:rsidTr="002646E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4AA" w14:textId="77777777" w:rsidR="0034297C" w:rsidRPr="0034297C" w:rsidRDefault="0034297C" w:rsidP="0034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Mołdawia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D6AB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36749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077B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DB7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39412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7BC3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037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A8CC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3,0%</w:t>
            </w:r>
          </w:p>
        </w:tc>
      </w:tr>
      <w:tr w:rsidR="0034297C" w:rsidRPr="0034297C" w14:paraId="09C80ADA" w14:textId="77777777" w:rsidTr="002646E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B57" w14:textId="77777777" w:rsidR="0034297C" w:rsidRPr="0034297C" w:rsidRDefault="0034297C" w:rsidP="0034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Gruzja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557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28009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A72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2C51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45128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DC0B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69D0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44287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25E8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2,9%</w:t>
            </w:r>
          </w:p>
        </w:tc>
      </w:tr>
      <w:tr w:rsidR="0034297C" w:rsidRPr="0034297C" w14:paraId="3C58617F" w14:textId="77777777" w:rsidTr="002646E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114E" w14:textId="77777777" w:rsidR="0034297C" w:rsidRPr="0034297C" w:rsidRDefault="0034297C" w:rsidP="0034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Rosja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BB73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6716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3A7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BF8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11261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309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515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19250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74A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1,3%</w:t>
            </w:r>
          </w:p>
        </w:tc>
      </w:tr>
      <w:tr w:rsidR="0034297C" w:rsidRPr="0034297C" w14:paraId="25637E89" w14:textId="77777777" w:rsidTr="002646E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2725" w14:textId="77777777" w:rsidR="0034297C" w:rsidRPr="0034297C" w:rsidRDefault="0034297C" w:rsidP="0034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Armenia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8066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1649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873F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4C96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2301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205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740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FF7E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color w:val="000000"/>
                <w:lang w:eastAsia="pl-PL"/>
              </w:rPr>
              <w:t>0,2%</w:t>
            </w:r>
          </w:p>
        </w:tc>
      </w:tr>
      <w:tr w:rsidR="0034297C" w:rsidRPr="0034297C" w14:paraId="0D317072" w14:textId="77777777" w:rsidTr="002646E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FA07B0" w14:textId="77777777" w:rsidR="0034297C" w:rsidRPr="0034297C" w:rsidRDefault="0034297C" w:rsidP="0034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05D470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1580343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B39CEF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986B46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1639994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580604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EB9A06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1519948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80B876" w14:textId="77777777" w:rsidR="0034297C" w:rsidRPr="0034297C" w:rsidRDefault="0034297C" w:rsidP="003429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4297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100,0%</w:t>
            </w:r>
          </w:p>
        </w:tc>
      </w:tr>
    </w:tbl>
    <w:p w14:paraId="338CFC7E" w14:textId="42BF4271" w:rsidR="00962895" w:rsidRPr="00E4649E" w:rsidRDefault="00962895" w:rsidP="00CB2769">
      <w:pPr>
        <w:ind w:right="1"/>
      </w:pPr>
    </w:p>
    <w:p w14:paraId="148931D5" w14:textId="1D2BC89F" w:rsidR="004B40F2" w:rsidRPr="00E31849" w:rsidRDefault="003A09DE" w:rsidP="00E31849">
      <w:pPr>
        <w:pStyle w:val="Akapitzlist"/>
        <w:numPr>
          <w:ilvl w:val="0"/>
          <w:numId w:val="27"/>
        </w:numPr>
        <w:ind w:right="1"/>
        <w:rPr>
          <w:b/>
          <w:color w:val="1F4E79" w:themeColor="accent1" w:themeShade="80"/>
        </w:rPr>
      </w:pPr>
      <w:r w:rsidRPr="00E31849">
        <w:rPr>
          <w:b/>
          <w:color w:val="1F4E79" w:themeColor="accent1" w:themeShade="80"/>
        </w:rPr>
        <w:t>Zezwolenia na pracę sezonową</w:t>
      </w:r>
    </w:p>
    <w:p w14:paraId="1E368940" w14:textId="1003283C" w:rsidR="00284964" w:rsidRDefault="006A0969" w:rsidP="001D5EE0">
      <w:pPr>
        <w:jc w:val="both"/>
        <w:rPr>
          <w:rFonts w:eastAsia="Times New Roman" w:cs="Courier New"/>
          <w:color w:val="000000"/>
          <w:lang w:eastAsia="pl-PL"/>
        </w:rPr>
      </w:pPr>
      <w:r>
        <w:rPr>
          <w:rFonts w:eastAsia="Times New Roman" w:cs="Courier New"/>
          <w:b/>
          <w:color w:val="000000"/>
          <w:lang w:eastAsia="pl-PL"/>
        </w:rPr>
        <w:t>Z</w:t>
      </w:r>
      <w:r w:rsidRPr="00E4649E">
        <w:rPr>
          <w:rFonts w:eastAsia="Times New Roman" w:cs="Courier New"/>
          <w:b/>
          <w:color w:val="000000"/>
          <w:lang w:eastAsia="pl-PL"/>
        </w:rPr>
        <w:t xml:space="preserve">ezwolenia </w:t>
      </w:r>
      <w:r w:rsidR="003A09DE" w:rsidRPr="00E4649E">
        <w:rPr>
          <w:rFonts w:eastAsia="Times New Roman" w:cs="Courier New"/>
          <w:b/>
          <w:color w:val="000000"/>
          <w:lang w:eastAsia="pl-PL"/>
        </w:rPr>
        <w:t>na pracę sezonową (tzw. zezwolenie typu S)</w:t>
      </w:r>
      <w:r>
        <w:rPr>
          <w:rFonts w:eastAsia="Times New Roman" w:cs="Courier New"/>
          <w:b/>
          <w:color w:val="000000"/>
          <w:lang w:eastAsia="pl-PL"/>
        </w:rPr>
        <w:t xml:space="preserve"> zostało wprowadzone w 2018 r. w związku z implementacją prawa UE.</w:t>
      </w:r>
      <w:r w:rsidR="003A09DE" w:rsidRPr="00EB4640">
        <w:rPr>
          <w:rFonts w:eastAsia="Times New Roman" w:cs="Courier New"/>
          <w:color w:val="000000"/>
          <w:lang w:eastAsia="pl-PL"/>
        </w:rPr>
        <w:t xml:space="preserve"> </w:t>
      </w:r>
      <w:r w:rsidR="00AF1050" w:rsidRPr="00EB4640">
        <w:rPr>
          <w:rFonts w:eastAsia="Times New Roman" w:cs="Courier New"/>
          <w:color w:val="000000"/>
          <w:lang w:eastAsia="pl-PL"/>
        </w:rPr>
        <w:t xml:space="preserve">W podklasach PKD uznanych jako sezonowe </w:t>
      </w:r>
      <w:r w:rsidR="00AF1050">
        <w:rPr>
          <w:rFonts w:eastAsia="Times New Roman" w:cs="Courier New"/>
          <w:color w:val="000000"/>
          <w:lang w:eastAsia="pl-PL"/>
        </w:rPr>
        <w:t xml:space="preserve">(część rolnictwa oraz gastronomii i hotelarstwa) można się obecnie starać tylko o zezwolenie na pracę sezonową. </w:t>
      </w:r>
      <w:r>
        <w:rPr>
          <w:rFonts w:eastAsia="Times New Roman" w:cs="Courier New"/>
          <w:color w:val="000000"/>
          <w:lang w:eastAsia="pl-PL"/>
        </w:rPr>
        <w:t>Aby uzyskać zezwolenie na pracę sezonową pracodawca składa wniosek</w:t>
      </w:r>
      <w:r w:rsidR="003A09DE" w:rsidRPr="00E4649E">
        <w:rPr>
          <w:rFonts w:eastAsia="Times New Roman" w:cs="Courier New"/>
          <w:color w:val="000000"/>
          <w:lang w:eastAsia="pl-PL"/>
        </w:rPr>
        <w:t xml:space="preserve"> o wydanie zezwolenia na pracę sezonową w powiatowym urzędzie pracy właściwym ze względu na swoją siedzibę lub miejsce zamieszkania. </w:t>
      </w:r>
      <w:r w:rsidR="001D5EE0" w:rsidRPr="00E4649E">
        <w:rPr>
          <w:rFonts w:eastAsia="Times New Roman" w:cs="Courier New"/>
          <w:color w:val="000000"/>
          <w:lang w:eastAsia="pl-PL"/>
        </w:rPr>
        <w:t>J</w:t>
      </w:r>
      <w:r w:rsidR="003A09DE" w:rsidRPr="00E4649E">
        <w:rPr>
          <w:rFonts w:eastAsia="Times New Roman" w:cs="Courier New"/>
          <w:color w:val="000000"/>
          <w:lang w:eastAsia="pl-PL"/>
        </w:rPr>
        <w:t xml:space="preserve">eżeli zezwolenie na pracę sezonową dotyczy obywatela </w:t>
      </w:r>
      <w:r w:rsidR="003A09DE" w:rsidRPr="00E4649E">
        <w:rPr>
          <w:rFonts w:eastAsia="Times New Roman" w:cs="Courier New"/>
          <w:b/>
          <w:color w:val="000000"/>
          <w:lang w:eastAsia="pl-PL"/>
        </w:rPr>
        <w:t>innego</w:t>
      </w:r>
      <w:r w:rsidR="003A09DE" w:rsidRPr="00E4649E">
        <w:rPr>
          <w:rFonts w:eastAsia="Times New Roman" w:cs="Courier New"/>
          <w:color w:val="000000"/>
          <w:lang w:eastAsia="pl-PL"/>
        </w:rPr>
        <w:t xml:space="preserve"> kraju niż: </w:t>
      </w:r>
      <w:r w:rsidR="003A09DE" w:rsidRPr="00E4649E">
        <w:rPr>
          <w:rFonts w:eastAsia="Times New Roman" w:cs="Courier New"/>
          <w:b/>
          <w:color w:val="000000"/>
          <w:lang w:eastAsia="pl-PL"/>
        </w:rPr>
        <w:t>Armenia, Gruzja, Mołdawia, Białoruś, Rosja, Ukraina</w:t>
      </w:r>
      <w:r w:rsidR="003A09DE" w:rsidRPr="00E4649E">
        <w:rPr>
          <w:rFonts w:eastAsia="Times New Roman" w:cs="Courier New"/>
          <w:color w:val="000000"/>
          <w:lang w:eastAsia="pl-PL"/>
        </w:rPr>
        <w:t xml:space="preserve">, należy dołączyć informację o teście rynku pracy tj. o braku możliwości zaspokojenia potrzeb kadrowych pracodawcy w oparciu o rejestry bezrobotnych i </w:t>
      </w:r>
      <w:r w:rsidR="001D5EE0" w:rsidRPr="00E4649E">
        <w:rPr>
          <w:rFonts w:eastAsia="Times New Roman" w:cs="Courier New"/>
          <w:color w:val="000000"/>
          <w:lang w:eastAsia="pl-PL"/>
        </w:rPr>
        <w:t>p</w:t>
      </w:r>
      <w:r w:rsidR="003A09DE" w:rsidRPr="00E4649E">
        <w:rPr>
          <w:rFonts w:eastAsia="Times New Roman" w:cs="Courier New"/>
          <w:color w:val="000000"/>
          <w:lang w:eastAsia="pl-PL"/>
        </w:rPr>
        <w:t>oszukujących pracy lub o negatywnym wyniku rekrutacji organizowanej dla pracodawcy.</w:t>
      </w:r>
      <w:r w:rsidR="001D5EE0" w:rsidRPr="00E4649E">
        <w:rPr>
          <w:rFonts w:eastAsia="Times New Roman" w:cs="Courier New"/>
          <w:color w:val="000000"/>
          <w:lang w:eastAsia="pl-PL"/>
        </w:rPr>
        <w:t xml:space="preserve"> </w:t>
      </w:r>
      <w:r w:rsidR="00632B13" w:rsidRPr="00632B13">
        <w:rPr>
          <w:rFonts w:eastAsia="Times New Roman" w:cs="Courier New"/>
          <w:color w:val="000000"/>
          <w:lang w:eastAsia="pl-PL"/>
        </w:rPr>
        <w:t>W celu uzyskania zezwolenia na pracę sezonową można skorzystać z dwóch możliwości</w:t>
      </w:r>
      <w:r w:rsidR="003A09DE" w:rsidRPr="00E4649E">
        <w:rPr>
          <w:rFonts w:eastAsia="Times New Roman" w:cs="Courier New"/>
          <w:color w:val="000000"/>
          <w:lang w:eastAsia="pl-PL"/>
        </w:rPr>
        <w:t xml:space="preserve">, </w:t>
      </w:r>
      <w:r w:rsidR="005C675A">
        <w:rPr>
          <w:rFonts w:eastAsia="Times New Roman" w:cs="Courier New"/>
          <w:color w:val="000000"/>
          <w:lang w:eastAsia="pl-PL"/>
        </w:rPr>
        <w:t>można starać się o zezwolenie podczas pobytu cudzoziemca na terytorium RP lub poza jego granicami</w:t>
      </w:r>
      <w:r w:rsidR="003A09DE" w:rsidRPr="00E4649E">
        <w:rPr>
          <w:rFonts w:eastAsia="Times New Roman" w:cs="Courier New"/>
          <w:color w:val="000000"/>
          <w:lang w:eastAsia="pl-PL"/>
        </w:rPr>
        <w:t xml:space="preserve">. W pierwszym przypadku („ścieżka krajowa”) starosta weryfikuje wniosek (złożony przez pracodawcę) i wydaje zgodę albo odmawia jej wydania. Decyzja wydawana jest w ciągu 7 dni </w:t>
      </w:r>
      <w:r>
        <w:rPr>
          <w:rFonts w:eastAsia="Times New Roman" w:cs="Courier New"/>
          <w:color w:val="000000"/>
          <w:lang w:eastAsia="pl-PL"/>
        </w:rPr>
        <w:t xml:space="preserve">(lub 30 jeśli wymagana są dodatkowe wyjaśnienia) </w:t>
      </w:r>
      <w:r w:rsidR="003A09DE" w:rsidRPr="00E4649E">
        <w:rPr>
          <w:rFonts w:eastAsia="Times New Roman" w:cs="Courier New"/>
          <w:color w:val="000000"/>
          <w:lang w:eastAsia="pl-PL"/>
        </w:rPr>
        <w:t>roboczych. W przypadku, gdy cudzoziemiec będzie się starał o wjazd na terytorium RP („ścieżka zagraniczna”), starosta weryfikuje wniosek (złożony przez pracodawcę) i wpisuje go do ewidencji wniosków w</w:t>
      </w:r>
      <w:r w:rsidR="00DF1517">
        <w:rPr>
          <w:rFonts w:eastAsia="Times New Roman" w:cs="Courier New"/>
          <w:color w:val="000000"/>
          <w:lang w:eastAsia="pl-PL"/>
        </w:rPr>
        <w:t xml:space="preserve"> </w:t>
      </w:r>
      <w:r w:rsidR="003A09DE" w:rsidRPr="00E4649E">
        <w:rPr>
          <w:rFonts w:eastAsia="Times New Roman" w:cs="Courier New"/>
          <w:color w:val="000000"/>
          <w:lang w:eastAsia="pl-PL"/>
        </w:rPr>
        <w:t>s</w:t>
      </w:r>
      <w:r w:rsidR="00DF1517">
        <w:rPr>
          <w:rFonts w:eastAsia="Times New Roman" w:cs="Courier New"/>
          <w:color w:val="000000"/>
          <w:lang w:eastAsia="pl-PL"/>
        </w:rPr>
        <w:t>p</w:t>
      </w:r>
      <w:r w:rsidR="003A09DE" w:rsidRPr="00E4649E">
        <w:rPr>
          <w:rFonts w:eastAsia="Times New Roman" w:cs="Courier New"/>
          <w:color w:val="000000"/>
          <w:lang w:eastAsia="pl-PL"/>
        </w:rPr>
        <w:t xml:space="preserve">. pracy sezonowej bądź odmawia zgody na pracę sezonową. </w:t>
      </w:r>
    </w:p>
    <w:p w14:paraId="79449ED7" w14:textId="77777777" w:rsidR="00284964" w:rsidRDefault="00284964" w:rsidP="001D5EE0">
      <w:pPr>
        <w:jc w:val="both"/>
        <w:rPr>
          <w:rFonts w:eastAsia="Times New Roman" w:cs="Courier New"/>
          <w:color w:val="000000"/>
          <w:lang w:eastAsia="pl-PL"/>
        </w:rPr>
      </w:pPr>
    </w:p>
    <w:p w14:paraId="776B360A" w14:textId="6B25A4F7" w:rsidR="003A09DE" w:rsidRPr="00E4649E" w:rsidRDefault="003A09DE" w:rsidP="001D5EE0">
      <w:pPr>
        <w:jc w:val="both"/>
        <w:rPr>
          <w:rFonts w:eastAsia="Times New Roman" w:cs="Courier New"/>
          <w:color w:val="FF0000"/>
          <w:lang w:eastAsia="pl-PL"/>
        </w:rPr>
      </w:pPr>
      <w:r w:rsidRPr="00E4649E">
        <w:rPr>
          <w:rFonts w:eastAsia="Times New Roman" w:cs="Courier New"/>
          <w:color w:val="000000"/>
          <w:lang w:eastAsia="pl-PL"/>
        </w:rPr>
        <w:t>Wpisanie do ewidencji następuje w ciągu 7 dni roboczych</w:t>
      </w:r>
      <w:r w:rsidR="006A0969">
        <w:rPr>
          <w:rFonts w:eastAsia="Times New Roman" w:cs="Courier New"/>
          <w:color w:val="000000"/>
          <w:lang w:eastAsia="pl-PL"/>
        </w:rPr>
        <w:t xml:space="preserve"> (lub 30 jeśli wymagana są dodatkowe wyjaśnienia)</w:t>
      </w:r>
      <w:r w:rsidRPr="00E4649E">
        <w:rPr>
          <w:rFonts w:eastAsia="Times New Roman" w:cs="Courier New"/>
          <w:color w:val="000000"/>
          <w:lang w:eastAsia="pl-PL"/>
        </w:rPr>
        <w:t>. Zaświadczenie o wpisie wydawane jest podmiotowi powierzającemu pracę cudzoziemcowi. Pracodawca przekazuje zaświadczenie cudzoziemcowi, zaświadczenie to służy jako podstawa do wydania wizy w celu wykonywania pracy sezonowej (cudzoziemiec może także wjechać w ramach ruchu bezwizowego okazując ww. zaświadczenie). Po przyjeździe cudzoziemca pracodawca informuje starostę o tym fakcie, przedstawia kopię wymaganych stron paszportu cudzoziemca oraz podaje adres jego zamieszkania na terytorium RP. Po spełnieniu ww. obowiązku starosta wydaje zezwolenie na pracę sezonową.</w:t>
      </w:r>
      <w:r w:rsidR="001D5EE0" w:rsidRPr="00E4649E">
        <w:rPr>
          <w:rFonts w:eastAsia="Times New Roman" w:cs="Courier New"/>
          <w:color w:val="000000"/>
          <w:lang w:eastAsia="pl-PL"/>
        </w:rPr>
        <w:t xml:space="preserve"> </w:t>
      </w:r>
      <w:r w:rsidR="00244AD3" w:rsidRPr="00244AD3">
        <w:rPr>
          <w:rFonts w:eastAsia="Times New Roman" w:cs="Courier New"/>
          <w:color w:val="000000"/>
          <w:lang w:eastAsia="pl-PL"/>
        </w:rPr>
        <w:t>Cudzoziemiec może być zatrudniony maksymalnie na 9 miesięcy w roku kalendarzowym.</w:t>
      </w:r>
      <w:r w:rsidRPr="00E4649E">
        <w:rPr>
          <w:rFonts w:eastAsia="Times New Roman" w:cs="Courier New"/>
          <w:color w:val="000000"/>
          <w:lang w:eastAsia="pl-PL"/>
        </w:rPr>
        <w:t xml:space="preserve">. Zezwolenie obejmuje prace sezonowe (głównie rolnictwo i częściowo turystykę). </w:t>
      </w:r>
      <w:r w:rsidR="005C675A">
        <w:t xml:space="preserve">Rozporządzenie Ministra właściwego do spraw pracy określa </w:t>
      </w:r>
      <w:r w:rsidR="006A0969">
        <w:t xml:space="preserve">podklasy </w:t>
      </w:r>
      <w:r w:rsidR="005C675A">
        <w:t xml:space="preserve">PKD, w których </w:t>
      </w:r>
      <w:r w:rsidR="006A0969">
        <w:t>obowiązuje zezwolenie</w:t>
      </w:r>
      <w:r w:rsidR="005C675A">
        <w:t xml:space="preserve"> na pracę sezonową</w:t>
      </w:r>
      <w:r w:rsidRPr="00E4649E">
        <w:rPr>
          <w:rFonts w:eastAsia="Times New Roman" w:cs="Courier New"/>
          <w:color w:val="FF0000"/>
          <w:lang w:eastAsia="pl-PL"/>
        </w:rPr>
        <w:t>.</w:t>
      </w:r>
    </w:p>
    <w:p w14:paraId="72C396E5" w14:textId="64280613" w:rsidR="00A2673A" w:rsidRDefault="00A2673A" w:rsidP="00A2673A">
      <w:pPr>
        <w:jc w:val="both"/>
        <w:rPr>
          <w:b/>
        </w:rPr>
      </w:pPr>
      <w:r w:rsidRPr="00E4649E">
        <w:rPr>
          <w:rFonts w:cs="Courier New"/>
          <w:b/>
          <w:color w:val="000000"/>
          <w:lang w:eastAsia="pl-PL"/>
        </w:rPr>
        <w:t>Średni czas trwania postępowania</w:t>
      </w:r>
      <w:r w:rsidRPr="00E4649E">
        <w:rPr>
          <w:rFonts w:cs="Courier New"/>
          <w:color w:val="000000"/>
          <w:lang w:eastAsia="pl-PL"/>
        </w:rPr>
        <w:t xml:space="preserve"> o udzielnie zezwolenia na pracę sezonową w 2020</w:t>
      </w:r>
      <w:r>
        <w:rPr>
          <w:rFonts w:cs="Courier New"/>
          <w:color w:val="000000"/>
          <w:lang w:eastAsia="pl-PL"/>
        </w:rPr>
        <w:t xml:space="preserve"> roku</w:t>
      </w:r>
      <w:r w:rsidRPr="00E4649E">
        <w:rPr>
          <w:rFonts w:cs="Courier New"/>
          <w:color w:val="000000"/>
          <w:lang w:eastAsia="pl-PL"/>
        </w:rPr>
        <w:t xml:space="preserve"> jest trudny do zmierzenia ze względu na specyfikę „zagranicznej” ścieżki legalizacji zatrudnienia (okresy niezależne od podmiotu rozpatrującego). Jednakże w przypadku ścieżki krajowej nieznacznie wydłużył się w skali całej Polski z 6 dni </w:t>
      </w:r>
      <w:r>
        <w:rPr>
          <w:rFonts w:cs="Courier New"/>
          <w:color w:val="000000"/>
          <w:lang w:eastAsia="pl-PL"/>
        </w:rPr>
        <w:t xml:space="preserve"> w </w:t>
      </w:r>
      <w:r w:rsidRPr="00E4649E">
        <w:rPr>
          <w:rFonts w:cs="Courier New"/>
          <w:color w:val="000000"/>
          <w:lang w:eastAsia="pl-PL"/>
        </w:rPr>
        <w:t xml:space="preserve">2019 roku do 9 dni w 2020 roku. </w:t>
      </w:r>
      <w:r w:rsidRPr="00E4649E">
        <w:t xml:space="preserve">Spośród 329 </w:t>
      </w:r>
      <w:r>
        <w:t>powiatowych urzędów pracy</w:t>
      </w:r>
      <w:r w:rsidRPr="00E4649E">
        <w:t>, które obsługiwały tego typu sprawy aż w co 3-cim przekraczany był</w:t>
      </w:r>
      <w:r w:rsidR="00393CBB">
        <w:t xml:space="preserve"> 7-dniowy</w:t>
      </w:r>
      <w:r w:rsidRPr="00E4649E">
        <w:t xml:space="preserve"> termin procedowania sprawy. W skali całego roku </w:t>
      </w:r>
      <w:r w:rsidRPr="00E4649E">
        <w:rPr>
          <w:b/>
        </w:rPr>
        <w:t>złożono 366 tys. wniosków</w:t>
      </w:r>
      <w:r>
        <w:rPr>
          <w:b/>
        </w:rPr>
        <w:t>, czyli</w:t>
      </w:r>
      <w:r w:rsidRPr="00E4649E">
        <w:t xml:space="preserve"> o 37% więcej niż w 2019 roku</w:t>
      </w:r>
      <w:r>
        <w:t>,</w:t>
      </w:r>
      <w:r w:rsidRPr="00E4649E">
        <w:t xml:space="preserve"> ale </w:t>
      </w:r>
      <w:r w:rsidRPr="00E4649E">
        <w:rPr>
          <w:b/>
        </w:rPr>
        <w:t>pozytywnie rozstrzygnięto jedynie  137 ty</w:t>
      </w:r>
      <w:r>
        <w:rPr>
          <w:b/>
        </w:rPr>
        <w:t>s</w:t>
      </w:r>
      <w:r w:rsidRPr="00E4649E">
        <w:rPr>
          <w:b/>
        </w:rPr>
        <w:t xml:space="preserve">. </w:t>
      </w:r>
      <w:r w:rsidRPr="00E4649E">
        <w:t>wniosków, o 4% więcej niż w 2019 roku</w:t>
      </w:r>
      <w:r w:rsidR="002D4B81">
        <w:t xml:space="preserve"> i o 2% więcej niż w 2018 roku</w:t>
      </w:r>
      <w:r w:rsidRPr="00E4649E">
        <w:t xml:space="preserve">. </w:t>
      </w:r>
      <w:r w:rsidRPr="00C448A5">
        <w:t xml:space="preserve">Sytuacja ta spowodowana była pandemią oraz </w:t>
      </w:r>
      <w:r>
        <w:t xml:space="preserve">dużą liczbą umorzonych lub nierozstrzygniętych </w:t>
      </w:r>
      <w:r w:rsidRPr="00A8588F">
        <w:t>postępowań</w:t>
      </w:r>
      <w:r w:rsidR="00393CBB">
        <w:t xml:space="preserve"> (np. w sytuacji, gdy cudzoziemiec rezygnował z przyjazdu do Polski lub nie otrzymywał wizy)</w:t>
      </w:r>
      <w:r w:rsidRPr="00A8588F">
        <w:rPr>
          <w:b/>
        </w:rPr>
        <w:t>.</w:t>
      </w:r>
      <w:r>
        <w:rPr>
          <w:b/>
        </w:rPr>
        <w:t xml:space="preserve"> </w:t>
      </w:r>
    </w:p>
    <w:p w14:paraId="722E1083" w14:textId="77777777" w:rsidR="00284964" w:rsidRPr="00A8588F" w:rsidRDefault="00284964" w:rsidP="00A2673A">
      <w:pPr>
        <w:jc w:val="both"/>
      </w:pPr>
    </w:p>
    <w:p w14:paraId="419C6293" w14:textId="7692E856" w:rsidR="00E22CC0" w:rsidRPr="00E4649E" w:rsidRDefault="005F2E2F" w:rsidP="00E22CC0">
      <w:pPr>
        <w:jc w:val="both"/>
      </w:pPr>
      <w:r w:rsidRPr="00E4649E">
        <w:rPr>
          <w:noProof/>
          <w:lang w:eastAsia="pl-PL"/>
        </w:rPr>
        <w:drawing>
          <wp:inline distT="0" distB="0" distL="0" distR="0" wp14:anchorId="50F937AC" wp14:editId="2CEC456E">
            <wp:extent cx="6301105" cy="3228975"/>
            <wp:effectExtent l="0" t="0" r="4445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6341BC6" w14:textId="6AB666BB" w:rsidR="005F2E2F" w:rsidRPr="00E4649E" w:rsidRDefault="005F2E2F" w:rsidP="009559B2">
      <w:pPr>
        <w:ind w:right="1"/>
        <w:jc w:val="both"/>
      </w:pPr>
      <w:r w:rsidRPr="00E4649E">
        <w:t xml:space="preserve">Cudzoziemcy </w:t>
      </w:r>
      <w:r w:rsidR="00244AD3">
        <w:t>posiadający zezwolenie na pracę sezonową</w:t>
      </w:r>
      <w:r w:rsidRPr="00E4649E">
        <w:t xml:space="preserve"> najczęściej wykonywali swoją pracę w województwie mazowieckim  </w:t>
      </w:r>
      <w:r w:rsidR="002A11CA" w:rsidRPr="00E4649E">
        <w:t>45</w:t>
      </w:r>
      <w:r w:rsidRPr="00E4649E">
        <w:t xml:space="preserve">%, </w:t>
      </w:r>
      <w:r w:rsidR="002A11CA" w:rsidRPr="00E4649E">
        <w:t>lubelskim</w:t>
      </w:r>
      <w:r w:rsidRPr="00E4649E">
        <w:t xml:space="preserve"> 1</w:t>
      </w:r>
      <w:r w:rsidR="002A11CA" w:rsidRPr="00E4649E">
        <w:t xml:space="preserve">5%, </w:t>
      </w:r>
      <w:r w:rsidRPr="00E4649E">
        <w:t xml:space="preserve">najrzadziej w </w:t>
      </w:r>
      <w:r w:rsidR="002A11CA" w:rsidRPr="00E4649E">
        <w:t xml:space="preserve">opolskim, warmińsko-mazurskim, śląskim, podkarpackim, kujawsko-pomorskim </w:t>
      </w:r>
      <w:r w:rsidRPr="00E4649E">
        <w:t>po 1%.</w:t>
      </w:r>
      <w:r w:rsidR="002D4B81">
        <w:t xml:space="preserve"> Jednakże największy wzrost dotyczył województwa łódzkiego, o 37% a największy spadek województwa zachodniopomorskiego o 25%</w:t>
      </w:r>
    </w:p>
    <w:p w14:paraId="145642A8" w14:textId="46485A4E" w:rsidR="00BD6B8F" w:rsidRPr="00E4649E" w:rsidRDefault="00BD6B8F" w:rsidP="00BD6B8F">
      <w:pPr>
        <w:jc w:val="center"/>
      </w:pPr>
      <w:r w:rsidRPr="00E4649E">
        <w:rPr>
          <w:noProof/>
          <w:lang w:eastAsia="pl-PL"/>
        </w:rPr>
        <w:drawing>
          <wp:inline distT="0" distB="0" distL="0" distR="0" wp14:anchorId="60BD3162" wp14:editId="23C8562E">
            <wp:extent cx="6301105" cy="3248025"/>
            <wp:effectExtent l="0" t="0" r="4445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1A113E5" w14:textId="48B7DC2B" w:rsidR="002D4B81" w:rsidRDefault="002A11CA" w:rsidP="002646E3">
      <w:pPr>
        <w:jc w:val="both"/>
      </w:pPr>
      <w:r w:rsidRPr="00E4649E">
        <w:t xml:space="preserve">Wśród cudzoziemców, którzy uzyskali zezwolenie na pracę sezonową w 2020 roku przeważały kobiety  – 61% </w:t>
      </w:r>
      <w:r w:rsidR="002D4B81">
        <w:t xml:space="preserve">a według wieku osoby </w:t>
      </w:r>
      <w:r w:rsidR="002D4B81" w:rsidRPr="00E4649E">
        <w:t xml:space="preserve">w </w:t>
      </w:r>
      <w:r w:rsidR="002D4B81">
        <w:t xml:space="preserve">przedziale od </w:t>
      </w:r>
      <w:r w:rsidRPr="00E4649E">
        <w:t>25 do 54 lat</w:t>
      </w:r>
      <w:r w:rsidR="002D4B81">
        <w:t>. Mężczyźni, którzy otrzymali zezwolenie na pracę sezonową w 2020 byli głównie w wieku 25-34 lat a wśród kobiet przeważały osoby w wieku 35-44 lat</w:t>
      </w:r>
      <w:r w:rsidR="00F41818">
        <w:t>.</w:t>
      </w:r>
    </w:p>
    <w:p w14:paraId="7C055FDE" w14:textId="49CCA916" w:rsidR="00F448A1" w:rsidRPr="00E4649E" w:rsidRDefault="00F41818" w:rsidP="002A11CA">
      <w:r>
        <w:t>Od 3 lat udział kobiet przy zezwoleniach na pracę sezonową nie ulegał większym wahaniom (61-64%)</w:t>
      </w:r>
      <w:r w:rsidR="00FB016C">
        <w:t>.</w:t>
      </w:r>
    </w:p>
    <w:p w14:paraId="465F01DD" w14:textId="2560F826" w:rsidR="00F41818" w:rsidRDefault="00F41818" w:rsidP="003B2719">
      <w:pPr>
        <w:ind w:right="1"/>
        <w:jc w:val="both"/>
      </w:pPr>
      <w:r>
        <w:lastRenderedPageBreak/>
        <w:t>Nastąpiły natomiast zmiany  w strukturze wiekowej cudzoziemców przybywających do Polski w celu wykonywania pracy sezonowej – odsetek osób w wieku do 34 lat zmniejszył się  z 47% w 2018 roku do 42% w 2020 roku.</w:t>
      </w:r>
    </w:p>
    <w:p w14:paraId="141C9915" w14:textId="1E3A5F77" w:rsidR="00F41818" w:rsidRDefault="00F41818" w:rsidP="00284964">
      <w:pPr>
        <w:ind w:right="1"/>
        <w:jc w:val="center"/>
      </w:pPr>
      <w:r>
        <w:rPr>
          <w:noProof/>
          <w:lang w:eastAsia="pl-PL"/>
        </w:rPr>
        <w:drawing>
          <wp:inline distT="0" distB="0" distL="0" distR="0" wp14:anchorId="406D24CF" wp14:editId="79DF0B11">
            <wp:extent cx="5905500" cy="3419475"/>
            <wp:effectExtent l="0" t="0" r="0" b="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3C757E3" w14:textId="17369394" w:rsidR="007E56C8" w:rsidRDefault="00F448A1" w:rsidP="003B2719">
      <w:pPr>
        <w:ind w:right="1"/>
        <w:jc w:val="both"/>
      </w:pPr>
      <w:r w:rsidRPr="00E4649E">
        <w:t>Najliczniej</w:t>
      </w:r>
      <w:r w:rsidR="007E56C8">
        <w:t>, niezmiennie od 2018 roku,</w:t>
      </w:r>
      <w:r w:rsidRPr="00E4649E">
        <w:t xml:space="preserve"> cudzoziemcy na zezwoleniach na pracę zatrudniani byli w </w:t>
      </w:r>
      <w:r w:rsidR="001A761A" w:rsidRPr="00E4649E">
        <w:t xml:space="preserve">rolnictwie, niemal 97%, pozostałe 3% to działalność związana z zakwaterowaniem i usługami gastronomicznymi. </w:t>
      </w:r>
    </w:p>
    <w:p w14:paraId="72CEA10C" w14:textId="222FF9D6" w:rsidR="007E56C8" w:rsidRDefault="001A761A" w:rsidP="003B2719">
      <w:pPr>
        <w:ind w:right="1"/>
        <w:jc w:val="both"/>
      </w:pPr>
      <w:r w:rsidRPr="00E4649E">
        <w:t xml:space="preserve">Cudzoziemcy </w:t>
      </w:r>
      <w:r w:rsidR="00FB016C">
        <w:t xml:space="preserve">w 2020 r. </w:t>
      </w:r>
      <w:r w:rsidRPr="00E4649E">
        <w:t>zatrudni</w:t>
      </w:r>
      <w:r w:rsidR="00FB016C">
        <w:t>ani</w:t>
      </w:r>
      <w:r w:rsidRPr="00E4649E">
        <w:t xml:space="preserve"> </w:t>
      </w:r>
      <w:r w:rsidR="005C675A">
        <w:t xml:space="preserve">byli </w:t>
      </w:r>
      <w:r w:rsidRPr="00E4649E">
        <w:t xml:space="preserve">głównie na </w:t>
      </w:r>
      <w:r w:rsidR="00F07F3E" w:rsidRPr="00E4649E">
        <w:t>umowę o pomocy przy zbiorach</w:t>
      </w:r>
      <w:r w:rsidR="00BA2542">
        <w:t xml:space="preserve">, </w:t>
      </w:r>
      <w:r w:rsidR="00FB016C">
        <w:t xml:space="preserve">wprowadzoną </w:t>
      </w:r>
      <w:r w:rsidR="00BA2542">
        <w:t>w połowie 2018 r.</w:t>
      </w:r>
      <w:r w:rsidR="00F07F3E" w:rsidRPr="00E4649E">
        <w:t xml:space="preserve"> - 67%</w:t>
      </w:r>
      <w:r w:rsidR="006D53C2">
        <w:t xml:space="preserve"> ( w 2018 i 2019 roku udział ten wynosił odpowiednio 35% i 60%)</w:t>
      </w:r>
      <w:r w:rsidR="00F07F3E" w:rsidRPr="00E4649E">
        <w:t>, umowę zlecenie - 19%</w:t>
      </w:r>
      <w:r w:rsidR="006D53C2">
        <w:t xml:space="preserve"> ( w 2018 i 2019 roku udział ten wynosił odpowiednio 46% i 23%)</w:t>
      </w:r>
      <w:r w:rsidR="00F07F3E" w:rsidRPr="00E4649E">
        <w:t>, umowę o dzieło - 12</w:t>
      </w:r>
      <w:r w:rsidR="007E56C8" w:rsidRPr="00E4649E">
        <w:t>%</w:t>
      </w:r>
      <w:r w:rsidR="006D53C2">
        <w:t xml:space="preserve"> (16% w 2018 roku, 14% w 2019 roku)</w:t>
      </w:r>
      <w:r w:rsidR="007E56C8">
        <w:t>.</w:t>
      </w:r>
    </w:p>
    <w:p w14:paraId="1D7C0A01" w14:textId="50044B7B" w:rsidR="00971276" w:rsidRDefault="00971276" w:rsidP="003B2719">
      <w:pPr>
        <w:ind w:right="1"/>
        <w:jc w:val="both"/>
      </w:pPr>
      <w:r>
        <w:t xml:space="preserve">Cudzoziemcy najczęściej, podobnie  jak w latach 2018-2019, zatrudniani byli </w:t>
      </w:r>
      <w:r w:rsidR="00F07F3E" w:rsidRPr="00E4649E">
        <w:t>na okres do 90 dni – 71%</w:t>
      </w:r>
      <w:r w:rsidR="00BA2542">
        <w:t xml:space="preserve">, zdecydowana większość pracodawców nie wykorzystywała więc całego 9-miesięcznego </w:t>
      </w:r>
      <w:r w:rsidR="00F07F3E" w:rsidRPr="00E4649E">
        <w:t xml:space="preserve">. </w:t>
      </w:r>
    </w:p>
    <w:p w14:paraId="58073700" w14:textId="7C0A5C93" w:rsidR="003B2719" w:rsidRDefault="00971276" w:rsidP="003B2719">
      <w:pPr>
        <w:ind w:right="1"/>
        <w:jc w:val="both"/>
      </w:pPr>
      <w:r>
        <w:t>Również niezmiennie, n</w:t>
      </w:r>
      <w:r w:rsidR="001A761A" w:rsidRPr="00E4649E">
        <w:t xml:space="preserve">ajliczniejszymi reprezentantami grupy pracowników </w:t>
      </w:r>
      <w:r w:rsidR="00F07F3E" w:rsidRPr="00E4649E">
        <w:t>z zezwoleniami na pracę sezonową</w:t>
      </w:r>
      <w:r w:rsidR="001A761A" w:rsidRPr="00E4649E">
        <w:t xml:space="preserve"> byli </w:t>
      </w:r>
      <w:r w:rsidR="00244AD3">
        <w:t>obywatele</w:t>
      </w:r>
      <w:r w:rsidR="001A761A" w:rsidRPr="00E4649E">
        <w:t xml:space="preserve"> Ukrainy, w sumie </w:t>
      </w:r>
      <w:r w:rsidR="00F07F3E" w:rsidRPr="00E4649E">
        <w:t>99</w:t>
      </w:r>
      <w:r w:rsidR="001A761A" w:rsidRPr="00E4649E">
        <w:t>% ogółu wydanych zezwoleń</w:t>
      </w:r>
    </w:p>
    <w:p w14:paraId="0A8912EC" w14:textId="77777777" w:rsidR="00574060" w:rsidRDefault="00574060" w:rsidP="00AD552E">
      <w:pPr>
        <w:jc w:val="both"/>
      </w:pPr>
    </w:p>
    <w:p w14:paraId="2DEBD89C" w14:textId="15BD75BC" w:rsidR="00EE78E4" w:rsidRPr="00E31849" w:rsidRDefault="00EE78E4" w:rsidP="00E31849">
      <w:pPr>
        <w:pStyle w:val="Akapitzlist"/>
        <w:numPr>
          <w:ilvl w:val="0"/>
          <w:numId w:val="27"/>
        </w:numPr>
        <w:rPr>
          <w:b/>
          <w:color w:val="1F4E79" w:themeColor="accent1" w:themeShade="80"/>
        </w:rPr>
      </w:pPr>
      <w:r w:rsidRPr="00E31849">
        <w:rPr>
          <w:b/>
          <w:color w:val="1F4E79" w:themeColor="accent1" w:themeShade="80"/>
        </w:rPr>
        <w:t>Wpływ zatrudniania cudzoziemców na lokalny rynek pracy</w:t>
      </w:r>
      <w:r w:rsidR="008E591A" w:rsidRPr="00E31849">
        <w:rPr>
          <w:b/>
          <w:color w:val="1F4E79" w:themeColor="accent1" w:themeShade="80"/>
        </w:rPr>
        <w:t xml:space="preserve"> w ocenie powiatowych urzędów pracy</w:t>
      </w:r>
    </w:p>
    <w:p w14:paraId="5783F955" w14:textId="7D012963" w:rsidR="00EE78E4" w:rsidRDefault="00EE78E4" w:rsidP="00EE78E4">
      <w:pPr>
        <w:pStyle w:val="Akapitzlist"/>
        <w:ind w:left="360"/>
        <w:jc w:val="both"/>
        <w:rPr>
          <w:b/>
        </w:rPr>
      </w:pPr>
    </w:p>
    <w:p w14:paraId="28673A37" w14:textId="25904B4E" w:rsidR="00D22399" w:rsidRDefault="00EE78E4" w:rsidP="00D22399">
      <w:pPr>
        <w:pStyle w:val="Akapitzlist"/>
        <w:ind w:left="360"/>
        <w:jc w:val="both"/>
      </w:pPr>
      <w:r w:rsidRPr="00EE78E4">
        <w:t xml:space="preserve">Na przełomie listopada i grudnia 2020 roku przeprowadzono ankietę dot. wpływu zatrudniania cudzoziemców na lokalny rynek pracy wśród kierownictwa </w:t>
      </w:r>
      <w:r w:rsidR="008D3D38" w:rsidRPr="00EE78E4">
        <w:t>powiatowych urzędów pracy</w:t>
      </w:r>
      <w:r w:rsidRPr="00EE78E4">
        <w:t xml:space="preserve">. W ankiecie wzięło udział 311 </w:t>
      </w:r>
      <w:r w:rsidR="008D3D38" w:rsidRPr="00EE78E4">
        <w:t>powiatowych urzędów pracy</w:t>
      </w:r>
      <w:r w:rsidRPr="00EE78E4">
        <w:t>.</w:t>
      </w:r>
      <w:r>
        <w:t xml:space="preserve"> </w:t>
      </w:r>
    </w:p>
    <w:p w14:paraId="3CC3505C" w14:textId="77777777" w:rsidR="00D22399" w:rsidRDefault="00D22399" w:rsidP="00D22399">
      <w:pPr>
        <w:pStyle w:val="Akapitzlist"/>
        <w:ind w:left="360"/>
        <w:jc w:val="both"/>
      </w:pPr>
    </w:p>
    <w:p w14:paraId="5A8AE9D4" w14:textId="18821C7D" w:rsidR="00D22399" w:rsidRDefault="00D22399" w:rsidP="00D22399">
      <w:pPr>
        <w:pStyle w:val="Akapitzlist"/>
        <w:ind w:left="360"/>
        <w:jc w:val="both"/>
      </w:pPr>
      <w:r>
        <w:t>W wyniku przeprowadzonej ankiety uzyskano następujące informacje:</w:t>
      </w:r>
    </w:p>
    <w:p w14:paraId="22DA0255" w14:textId="007B1602" w:rsidR="00D22399" w:rsidRDefault="00D22399" w:rsidP="00D22399">
      <w:pPr>
        <w:pStyle w:val="Akapitzlist"/>
        <w:numPr>
          <w:ilvl w:val="0"/>
          <w:numId w:val="17"/>
        </w:numPr>
        <w:jc w:val="both"/>
      </w:pPr>
      <w:r>
        <w:t xml:space="preserve">68% </w:t>
      </w:r>
      <w:r w:rsidR="00616CE4">
        <w:t xml:space="preserve">powiatowych urzędów pracy </w:t>
      </w:r>
      <w:r>
        <w:t>uznało wpływ cudzoziemców na rynek pracy za raczej pozytywny i pozytywny. Neutralnie oceniony został przez 28% urzędów, a 3%  dostrzega raczej negatywny wpływ. Tylko jeden urząd ocenił negatywnie wpływu cudzoziemców na lokalny rynek pracy.</w:t>
      </w:r>
    </w:p>
    <w:p w14:paraId="0AEAFC39" w14:textId="057690AA" w:rsidR="00D22399" w:rsidRDefault="00D22399" w:rsidP="00D22399">
      <w:pPr>
        <w:pStyle w:val="Akapitzlist"/>
        <w:numPr>
          <w:ilvl w:val="0"/>
          <w:numId w:val="17"/>
        </w:numPr>
        <w:jc w:val="both"/>
      </w:pPr>
      <w:r>
        <w:t xml:space="preserve">21% </w:t>
      </w:r>
      <w:r w:rsidR="00616CE4">
        <w:t xml:space="preserve">powiatowych urzędów pracy </w:t>
      </w:r>
      <w:r w:rsidR="00737C36">
        <w:t>uważa, że nastąpi</w:t>
      </w:r>
      <w:r>
        <w:t xml:space="preserve"> wzrost zapotrzebowania na pracę cudzoziemców w ciągu następnego roku, 48% </w:t>
      </w:r>
      <w:r w:rsidR="00616CE4">
        <w:t xml:space="preserve">powiatowych urzędów pracy </w:t>
      </w:r>
      <w:r>
        <w:t>twierdzi że pozostanie bez zmian, 29 % nie jest w stanie stwierdzić, a tylko 5 urzędów prognozuje spadek.</w:t>
      </w:r>
    </w:p>
    <w:p w14:paraId="2B5A60F2" w14:textId="30987D1F" w:rsidR="00D22399" w:rsidRDefault="00D22399" w:rsidP="00616CE4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W przypadku wpływu COVID-19 na zapotrzebowanie na pracę cudzoziemców, 23% </w:t>
      </w:r>
      <w:r w:rsidR="00616CE4" w:rsidRPr="00616CE4">
        <w:t xml:space="preserve">powiatowych urzędów pracy </w:t>
      </w:r>
      <w:r w:rsidR="00737C36">
        <w:t xml:space="preserve">uważa, że </w:t>
      </w:r>
      <w:r>
        <w:t xml:space="preserve"> zdecydowanie lub raczej wzrosło, zdaniem 42 % nie miało znaczenia, a 35% twierdzi </w:t>
      </w:r>
      <w:r w:rsidR="00737C36">
        <w:t>ż</w:t>
      </w:r>
      <w:r>
        <w:t xml:space="preserve">e zdecydowanie lub raczej zmalało. </w:t>
      </w:r>
    </w:p>
    <w:p w14:paraId="7B14063A" w14:textId="24087BEC" w:rsidR="00EE78E4" w:rsidRPr="00737C36" w:rsidRDefault="00737C36" w:rsidP="00D22399">
      <w:pPr>
        <w:pStyle w:val="Akapitzlist"/>
        <w:numPr>
          <w:ilvl w:val="0"/>
          <w:numId w:val="17"/>
        </w:numPr>
        <w:jc w:val="both"/>
        <w:rPr>
          <w:b/>
        </w:rPr>
      </w:pPr>
      <w:r>
        <w:t>Badając występowanie</w:t>
      </w:r>
      <w:r w:rsidR="00D22399">
        <w:t xml:space="preserve"> zjawiska tzw. wypychania z rynku pracy polskich pracowników w związku z powierzaniem pracy cudzoziemcom, 28% jest zdania że w ich powiecie występuj</w:t>
      </w:r>
      <w:r>
        <w:t>e</w:t>
      </w:r>
      <w:r w:rsidR="00D22399">
        <w:t xml:space="preserve"> o</w:t>
      </w:r>
      <w:r>
        <w:t xml:space="preserve">no w </w:t>
      </w:r>
      <w:r w:rsidR="00D22399">
        <w:t xml:space="preserve">średnim i niewielkim natężeniu, a 72% nie zaobserwowało takiego zjawiska.  </w:t>
      </w:r>
    </w:p>
    <w:p w14:paraId="6824BE92" w14:textId="784ADA35" w:rsidR="000D5DF4" w:rsidRDefault="00737C36" w:rsidP="000D5DF4">
      <w:pPr>
        <w:pStyle w:val="Akapitzlist"/>
        <w:numPr>
          <w:ilvl w:val="0"/>
          <w:numId w:val="17"/>
        </w:numPr>
        <w:jc w:val="both"/>
      </w:pPr>
      <w:r>
        <w:t xml:space="preserve">Na pytanie o </w:t>
      </w:r>
      <w:r w:rsidRPr="00737C36">
        <w:t>zjawisko obniżania (lub zahamowania wzrostu) wynagrodzeń na lokalnym rynku pracy w związku z powierzaniem pracy cudzoziemcom</w:t>
      </w:r>
      <w:r>
        <w:t xml:space="preserve"> respondenci ocenili: w 9% że występuje </w:t>
      </w:r>
      <w:r w:rsidR="00D24D64">
        <w:t xml:space="preserve">w </w:t>
      </w:r>
      <w:r>
        <w:t>silnym i średnim natężeniu;  19% występuje w niewielkim natężeniu; 72% nie zaobserwowało takiego zjawiska</w:t>
      </w:r>
      <w:r w:rsidR="00D24D64">
        <w:t>.</w:t>
      </w:r>
    </w:p>
    <w:p w14:paraId="748B87EF" w14:textId="085E8E27" w:rsidR="00737C36" w:rsidRDefault="00737C36" w:rsidP="000F0AF8">
      <w:pPr>
        <w:pStyle w:val="Akapitzlist"/>
        <w:numPr>
          <w:ilvl w:val="0"/>
          <w:numId w:val="17"/>
        </w:numPr>
        <w:jc w:val="both"/>
      </w:pPr>
      <w:r>
        <w:t xml:space="preserve">Na pytanie na temat występowania zjawiska zwiększania się udziału umów cywilnoprawnych na lokalnym rynku pracy w związku z powierzaniem pracy cudzoziemcom 18% oceniło że występuje </w:t>
      </w:r>
      <w:r w:rsidR="00D24D64">
        <w:t xml:space="preserve">w </w:t>
      </w:r>
      <w:r>
        <w:t>silnym i średnim natężeniu; 23% o niewielkim natężeniu ; 59% nie zaobserwowało takiego zjawiska</w:t>
      </w:r>
    </w:p>
    <w:p w14:paraId="3A6BFDC6" w14:textId="5DD5DE28" w:rsidR="00737C36" w:rsidRPr="004B7D08" w:rsidRDefault="00AC3063" w:rsidP="00737C36">
      <w:pPr>
        <w:pStyle w:val="Akapitzlist"/>
        <w:numPr>
          <w:ilvl w:val="0"/>
          <w:numId w:val="17"/>
        </w:numPr>
        <w:jc w:val="both"/>
      </w:pPr>
      <w:r>
        <w:t xml:space="preserve">Na pytanie o </w:t>
      </w:r>
      <w:r w:rsidRPr="00AC3063">
        <w:t>naruszani</w:t>
      </w:r>
      <w:r>
        <w:t>e</w:t>
      </w:r>
      <w:r w:rsidRPr="00AC3063">
        <w:t xml:space="preserve"> przepisów związanych z legalnością pobytu lub pracy, 40% </w:t>
      </w:r>
      <w:r w:rsidR="00616CE4" w:rsidRPr="00616CE4">
        <w:t xml:space="preserve">powiatowych urzędów pracy </w:t>
      </w:r>
      <w:r w:rsidRPr="00AC3063">
        <w:t>wskazał średnią i niewielką skale przypadków, 60% nie zaobserwowało takich zdarzeń.</w:t>
      </w:r>
    </w:p>
    <w:p w14:paraId="06643C7D" w14:textId="4E7136C4" w:rsidR="00574060" w:rsidRDefault="00574060" w:rsidP="0045583D">
      <w:pPr>
        <w:jc w:val="both"/>
      </w:pPr>
    </w:p>
    <w:p w14:paraId="60479B19" w14:textId="0FBD39B9" w:rsidR="002A11CA" w:rsidRDefault="0030548D" w:rsidP="00E31849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>Dodatkowe informacje</w:t>
      </w:r>
      <w:r w:rsidRPr="00E4649E">
        <w:rPr>
          <w:b/>
        </w:rPr>
        <w:t xml:space="preserve"> </w:t>
      </w:r>
      <w:r w:rsidR="006315C9" w:rsidRPr="00E4649E">
        <w:rPr>
          <w:b/>
        </w:rPr>
        <w:t>statystyczn</w:t>
      </w:r>
      <w:r>
        <w:rPr>
          <w:b/>
        </w:rPr>
        <w:t>e</w:t>
      </w:r>
    </w:p>
    <w:p w14:paraId="74218813" w14:textId="77777777" w:rsidR="00E71634" w:rsidRPr="00E71634" w:rsidRDefault="00E71634" w:rsidP="00E71634">
      <w:pPr>
        <w:pStyle w:val="Akapitzlist"/>
        <w:rPr>
          <w:b/>
        </w:rPr>
      </w:pPr>
    </w:p>
    <w:p w14:paraId="46584375" w14:textId="5B4C0951" w:rsidR="00E71634" w:rsidRDefault="00E71634" w:rsidP="00E71634">
      <w:pPr>
        <w:jc w:val="both"/>
      </w:pPr>
      <w:r w:rsidRPr="00E71634">
        <w:t xml:space="preserve">Wszelkie szczegółowe </w:t>
      </w:r>
      <w:r w:rsidR="00935C56" w:rsidRPr="00E71634">
        <w:t>informacje</w:t>
      </w:r>
      <w:r w:rsidR="00935C56">
        <w:t xml:space="preserve"> statystyczne </w:t>
      </w:r>
      <w:r w:rsidRPr="00E71634">
        <w:t xml:space="preserve">na temat </w:t>
      </w:r>
      <w:r w:rsidR="00935C56">
        <w:t xml:space="preserve">zatrudnienia cudzoziemców w Polsce dostępne są pod adresem: </w:t>
      </w:r>
      <w:hyperlink r:id="rId24" w:history="1">
        <w:r w:rsidR="00935C56" w:rsidRPr="00E01D9F">
          <w:rPr>
            <w:rStyle w:val="Hipercze"/>
          </w:rPr>
          <w:t>https://psz.praca.gov.pl/rynek-pracy/statystyki-i-analizy/zatrudnianie-cudzoziemcow-w-polsce</w:t>
        </w:r>
      </w:hyperlink>
      <w:r w:rsidR="00935C56">
        <w:t xml:space="preserve"> .</w:t>
      </w:r>
    </w:p>
    <w:p w14:paraId="72B10151" w14:textId="6B9605C6" w:rsidR="00E71634" w:rsidRDefault="00935C56" w:rsidP="00E71634">
      <w:pPr>
        <w:jc w:val="both"/>
      </w:pPr>
      <w:r>
        <w:t xml:space="preserve">Na </w:t>
      </w:r>
      <w:r w:rsidR="00466CFC">
        <w:t xml:space="preserve">portalu </w:t>
      </w:r>
      <w:r>
        <w:t>Publicznych Służb Zatrudnienia znajdują się również informacje o obowiązujących przepisach oraz o najnowszych wydarzeniach w tym także z zakresu migracji pracowników z państw trzecich.</w:t>
      </w:r>
    </w:p>
    <w:p w14:paraId="0A7F1FF1" w14:textId="4B87598B" w:rsidR="00BC589B" w:rsidRPr="00E71634" w:rsidRDefault="00BC589B" w:rsidP="00E71634">
      <w:pPr>
        <w:jc w:val="both"/>
      </w:pPr>
      <w:r>
        <w:t xml:space="preserve">Dane </w:t>
      </w:r>
      <w:r w:rsidR="00942832">
        <w:t xml:space="preserve">wykorzystywane </w:t>
      </w:r>
      <w:r>
        <w:t xml:space="preserve">w analizie generowane były z sytemu </w:t>
      </w:r>
      <w:proofErr w:type="spellStart"/>
      <w:r>
        <w:t>CeSAR</w:t>
      </w:r>
      <w:proofErr w:type="spellEnd"/>
      <w:r>
        <w:t xml:space="preserve">, wg stanu na dzień 15 stycznia 2020 r. – po tym czasie część informacji mogła zostać </w:t>
      </w:r>
      <w:r w:rsidR="00C65234">
        <w:t>z</w:t>
      </w:r>
      <w:r>
        <w:t>mo</w:t>
      </w:r>
      <w:r w:rsidR="007F19B3">
        <w:t>dyfikowana, usunięta lub dodana. W związku z powyższym mogą występować niewielkie różnice w poszczególnych kategoriach w porównaniu z danymi generowanymi w innym czasie.</w:t>
      </w:r>
    </w:p>
    <w:sectPr w:rsidR="00BC589B" w:rsidRPr="00E71634" w:rsidSect="009559B2">
      <w:headerReference w:type="default" r:id="rId25"/>
      <w:footerReference w:type="default" r:id="rId26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39085" w14:textId="77777777" w:rsidR="00CF2A34" w:rsidRDefault="00CF2A34" w:rsidP="00A63E29">
      <w:pPr>
        <w:spacing w:after="0" w:line="240" w:lineRule="auto"/>
      </w:pPr>
      <w:r>
        <w:separator/>
      </w:r>
    </w:p>
  </w:endnote>
  <w:endnote w:type="continuationSeparator" w:id="0">
    <w:p w14:paraId="7ED35A73" w14:textId="77777777" w:rsidR="00CF2A34" w:rsidRDefault="00CF2A34" w:rsidP="00A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5122" w14:textId="257FF158" w:rsidR="002C6C55" w:rsidRDefault="002C6C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5A8C05" wp14:editId="736A22C7">
          <wp:simplePos x="0" y="0"/>
          <wp:positionH relativeFrom="page">
            <wp:posOffset>3627755</wp:posOffset>
          </wp:positionH>
          <wp:positionV relativeFrom="paragraph">
            <wp:posOffset>-3810</wp:posOffset>
          </wp:positionV>
          <wp:extent cx="723900" cy="600847"/>
          <wp:effectExtent l="0" t="0" r="0" b="889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09F2D" w14:textId="77777777" w:rsidR="00CF2A34" w:rsidRDefault="00CF2A34" w:rsidP="00A63E29">
      <w:pPr>
        <w:spacing w:after="0" w:line="240" w:lineRule="auto"/>
      </w:pPr>
      <w:r>
        <w:separator/>
      </w:r>
    </w:p>
  </w:footnote>
  <w:footnote w:type="continuationSeparator" w:id="0">
    <w:p w14:paraId="0D7A09D6" w14:textId="77777777" w:rsidR="00CF2A34" w:rsidRDefault="00CF2A34" w:rsidP="00A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E3E0" w14:textId="0814EACA" w:rsidR="002B3134" w:rsidRDefault="002B3134" w:rsidP="002B3134">
    <w:pPr>
      <w:pStyle w:val="Nagwek"/>
      <w:rPr>
        <w:i/>
        <w:sz w:val="36"/>
      </w:rPr>
    </w:pPr>
  </w:p>
  <w:p w14:paraId="1C600CF4" w14:textId="77777777" w:rsidR="002B3134" w:rsidRPr="002B3134" w:rsidRDefault="002B3134" w:rsidP="002B3134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6F6"/>
    <w:multiLevelType w:val="multilevel"/>
    <w:tmpl w:val="192034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BD7170"/>
    <w:multiLevelType w:val="multilevel"/>
    <w:tmpl w:val="2DACA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64840"/>
    <w:multiLevelType w:val="hybridMultilevel"/>
    <w:tmpl w:val="C4D6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1A77"/>
    <w:multiLevelType w:val="hybridMultilevel"/>
    <w:tmpl w:val="D7DCB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745E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8D3079"/>
    <w:multiLevelType w:val="multilevel"/>
    <w:tmpl w:val="E0C81AD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6" w15:restartNumberingAfterBreak="0">
    <w:nsid w:val="21BC59AC"/>
    <w:multiLevelType w:val="hybridMultilevel"/>
    <w:tmpl w:val="E3642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53909"/>
    <w:multiLevelType w:val="multilevel"/>
    <w:tmpl w:val="192034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990093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EE7FF7"/>
    <w:multiLevelType w:val="hybridMultilevel"/>
    <w:tmpl w:val="E24E81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AD5DE9"/>
    <w:multiLevelType w:val="hybridMultilevel"/>
    <w:tmpl w:val="ED16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197B"/>
    <w:multiLevelType w:val="hybridMultilevel"/>
    <w:tmpl w:val="A99C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683F"/>
    <w:multiLevelType w:val="multilevel"/>
    <w:tmpl w:val="2DACA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B670C"/>
    <w:multiLevelType w:val="multilevel"/>
    <w:tmpl w:val="192034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7459D8"/>
    <w:multiLevelType w:val="multilevel"/>
    <w:tmpl w:val="192034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656A9F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456A64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EE6EC4"/>
    <w:multiLevelType w:val="hybridMultilevel"/>
    <w:tmpl w:val="434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43D36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156621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D5A4382"/>
    <w:multiLevelType w:val="multilevel"/>
    <w:tmpl w:val="192034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A0011C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291AF2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91D6EC3"/>
    <w:multiLevelType w:val="hybridMultilevel"/>
    <w:tmpl w:val="FD96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1FA7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5545C8"/>
    <w:multiLevelType w:val="hybridMultilevel"/>
    <w:tmpl w:val="8F2C2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AE50D4"/>
    <w:multiLevelType w:val="multilevel"/>
    <w:tmpl w:val="192034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D33F39"/>
    <w:multiLevelType w:val="multilevel"/>
    <w:tmpl w:val="E0C81AD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8" w15:restartNumberingAfterBreak="0">
    <w:nsid w:val="65164A4B"/>
    <w:multiLevelType w:val="hybridMultilevel"/>
    <w:tmpl w:val="9B1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50C8B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08B55B0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33510C"/>
    <w:multiLevelType w:val="multilevel"/>
    <w:tmpl w:val="E0C81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E43E84"/>
    <w:multiLevelType w:val="hybridMultilevel"/>
    <w:tmpl w:val="188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E785C"/>
    <w:multiLevelType w:val="hybridMultilevel"/>
    <w:tmpl w:val="6ECAB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64591"/>
    <w:multiLevelType w:val="multilevel"/>
    <w:tmpl w:val="192034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CF5713"/>
    <w:multiLevelType w:val="hybridMultilevel"/>
    <w:tmpl w:val="8B3E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4"/>
  </w:num>
  <w:num w:numId="5">
    <w:abstractNumId w:val="22"/>
  </w:num>
  <w:num w:numId="6">
    <w:abstractNumId w:val="10"/>
  </w:num>
  <w:num w:numId="7">
    <w:abstractNumId w:val="35"/>
  </w:num>
  <w:num w:numId="8">
    <w:abstractNumId w:val="32"/>
  </w:num>
  <w:num w:numId="9">
    <w:abstractNumId w:val="3"/>
  </w:num>
  <w:num w:numId="10">
    <w:abstractNumId w:val="2"/>
  </w:num>
  <w:num w:numId="11">
    <w:abstractNumId w:val="25"/>
  </w:num>
  <w:num w:numId="12">
    <w:abstractNumId w:val="6"/>
  </w:num>
  <w:num w:numId="13">
    <w:abstractNumId w:val="1"/>
  </w:num>
  <w:num w:numId="14">
    <w:abstractNumId w:val="12"/>
  </w:num>
  <w:num w:numId="15">
    <w:abstractNumId w:val="24"/>
  </w:num>
  <w:num w:numId="16">
    <w:abstractNumId w:val="8"/>
  </w:num>
  <w:num w:numId="17">
    <w:abstractNumId w:val="9"/>
  </w:num>
  <w:num w:numId="18">
    <w:abstractNumId w:val="28"/>
  </w:num>
  <w:num w:numId="19">
    <w:abstractNumId w:val="33"/>
  </w:num>
  <w:num w:numId="20">
    <w:abstractNumId w:val="5"/>
  </w:num>
  <w:num w:numId="21">
    <w:abstractNumId w:val="16"/>
  </w:num>
  <w:num w:numId="22">
    <w:abstractNumId w:val="21"/>
  </w:num>
  <w:num w:numId="23">
    <w:abstractNumId w:val="27"/>
  </w:num>
  <w:num w:numId="24">
    <w:abstractNumId w:val="18"/>
  </w:num>
  <w:num w:numId="25">
    <w:abstractNumId w:val="26"/>
  </w:num>
  <w:num w:numId="26">
    <w:abstractNumId w:val="20"/>
  </w:num>
  <w:num w:numId="27">
    <w:abstractNumId w:val="13"/>
  </w:num>
  <w:num w:numId="28">
    <w:abstractNumId w:val="34"/>
  </w:num>
  <w:num w:numId="29">
    <w:abstractNumId w:val="14"/>
  </w:num>
  <w:num w:numId="30">
    <w:abstractNumId w:val="0"/>
  </w:num>
  <w:num w:numId="31">
    <w:abstractNumId w:val="7"/>
  </w:num>
  <w:num w:numId="32">
    <w:abstractNumId w:val="31"/>
  </w:num>
  <w:num w:numId="33">
    <w:abstractNumId w:val="15"/>
  </w:num>
  <w:num w:numId="34">
    <w:abstractNumId w:val="19"/>
  </w:num>
  <w:num w:numId="35">
    <w:abstractNumId w:val="2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40"/>
    <w:rsid w:val="00005988"/>
    <w:rsid w:val="00005B12"/>
    <w:rsid w:val="0001268E"/>
    <w:rsid w:val="00017182"/>
    <w:rsid w:val="00023975"/>
    <w:rsid w:val="0004193F"/>
    <w:rsid w:val="00042F90"/>
    <w:rsid w:val="00050973"/>
    <w:rsid w:val="00053B1A"/>
    <w:rsid w:val="000626F2"/>
    <w:rsid w:val="00067960"/>
    <w:rsid w:val="00071C4D"/>
    <w:rsid w:val="000A47C1"/>
    <w:rsid w:val="000A7A7F"/>
    <w:rsid w:val="000B30CD"/>
    <w:rsid w:val="000B3C37"/>
    <w:rsid w:val="000B6E6F"/>
    <w:rsid w:val="000D0B65"/>
    <w:rsid w:val="000D2BD2"/>
    <w:rsid w:val="000D5DF4"/>
    <w:rsid w:val="000D784F"/>
    <w:rsid w:val="000E330A"/>
    <w:rsid w:val="000F0AF8"/>
    <w:rsid w:val="00104CF7"/>
    <w:rsid w:val="00105D5B"/>
    <w:rsid w:val="0011108B"/>
    <w:rsid w:val="00121A0F"/>
    <w:rsid w:val="00131F94"/>
    <w:rsid w:val="00143804"/>
    <w:rsid w:val="00155566"/>
    <w:rsid w:val="0015678A"/>
    <w:rsid w:val="00182C17"/>
    <w:rsid w:val="001A761A"/>
    <w:rsid w:val="001B7120"/>
    <w:rsid w:val="001C5F2A"/>
    <w:rsid w:val="001C7608"/>
    <w:rsid w:val="001D5EE0"/>
    <w:rsid w:val="001D6088"/>
    <w:rsid w:val="001E6004"/>
    <w:rsid w:val="002155F3"/>
    <w:rsid w:val="00244AD3"/>
    <w:rsid w:val="00253AD6"/>
    <w:rsid w:val="002646E3"/>
    <w:rsid w:val="00267372"/>
    <w:rsid w:val="00284964"/>
    <w:rsid w:val="002912C7"/>
    <w:rsid w:val="002A11CA"/>
    <w:rsid w:val="002B2BF4"/>
    <w:rsid w:val="002B3134"/>
    <w:rsid w:val="002B7FF9"/>
    <w:rsid w:val="002C6C55"/>
    <w:rsid w:val="002C6F7B"/>
    <w:rsid w:val="002D4B81"/>
    <w:rsid w:val="002E5153"/>
    <w:rsid w:val="002E79D4"/>
    <w:rsid w:val="00303394"/>
    <w:rsid w:val="0030548D"/>
    <w:rsid w:val="00330F76"/>
    <w:rsid w:val="00341863"/>
    <w:rsid w:val="00342542"/>
    <w:rsid w:val="0034297C"/>
    <w:rsid w:val="00362B3F"/>
    <w:rsid w:val="00365476"/>
    <w:rsid w:val="00377B4F"/>
    <w:rsid w:val="00393CBB"/>
    <w:rsid w:val="003969F7"/>
    <w:rsid w:val="003A09DE"/>
    <w:rsid w:val="003B2719"/>
    <w:rsid w:val="003C2BBF"/>
    <w:rsid w:val="003D5981"/>
    <w:rsid w:val="003F20E9"/>
    <w:rsid w:val="003F7B4D"/>
    <w:rsid w:val="004138AE"/>
    <w:rsid w:val="00423EC3"/>
    <w:rsid w:val="004254A9"/>
    <w:rsid w:val="00450C99"/>
    <w:rsid w:val="004525CB"/>
    <w:rsid w:val="0045583D"/>
    <w:rsid w:val="00466CFC"/>
    <w:rsid w:val="00482943"/>
    <w:rsid w:val="00487127"/>
    <w:rsid w:val="004A1CD1"/>
    <w:rsid w:val="004B18B2"/>
    <w:rsid w:val="004B26C3"/>
    <w:rsid w:val="004B40F2"/>
    <w:rsid w:val="004B45AF"/>
    <w:rsid w:val="004B7D08"/>
    <w:rsid w:val="0050025D"/>
    <w:rsid w:val="005230DC"/>
    <w:rsid w:val="00537733"/>
    <w:rsid w:val="005404E6"/>
    <w:rsid w:val="00545652"/>
    <w:rsid w:val="00574060"/>
    <w:rsid w:val="00582F47"/>
    <w:rsid w:val="00583345"/>
    <w:rsid w:val="005C3717"/>
    <w:rsid w:val="005C675A"/>
    <w:rsid w:val="005D03C7"/>
    <w:rsid w:val="005D763A"/>
    <w:rsid w:val="005E486F"/>
    <w:rsid w:val="005F2E2F"/>
    <w:rsid w:val="00601103"/>
    <w:rsid w:val="0061351D"/>
    <w:rsid w:val="00616CE4"/>
    <w:rsid w:val="006308F7"/>
    <w:rsid w:val="006315C9"/>
    <w:rsid w:val="00632B13"/>
    <w:rsid w:val="006957CC"/>
    <w:rsid w:val="006A0969"/>
    <w:rsid w:val="006B2BA7"/>
    <w:rsid w:val="006C1A56"/>
    <w:rsid w:val="006D09D4"/>
    <w:rsid w:val="006D2D67"/>
    <w:rsid w:val="006D53C2"/>
    <w:rsid w:val="006F0481"/>
    <w:rsid w:val="006F16A0"/>
    <w:rsid w:val="006F4418"/>
    <w:rsid w:val="00707A89"/>
    <w:rsid w:val="00710BB9"/>
    <w:rsid w:val="0072511D"/>
    <w:rsid w:val="00731D32"/>
    <w:rsid w:val="00737C36"/>
    <w:rsid w:val="00747A14"/>
    <w:rsid w:val="007807E8"/>
    <w:rsid w:val="007A509A"/>
    <w:rsid w:val="007A5480"/>
    <w:rsid w:val="007D515D"/>
    <w:rsid w:val="007D709A"/>
    <w:rsid w:val="007E56C8"/>
    <w:rsid w:val="007F19B3"/>
    <w:rsid w:val="007F19DE"/>
    <w:rsid w:val="007F6580"/>
    <w:rsid w:val="008113B0"/>
    <w:rsid w:val="00830163"/>
    <w:rsid w:val="0083038F"/>
    <w:rsid w:val="00842640"/>
    <w:rsid w:val="008456B9"/>
    <w:rsid w:val="00861FC5"/>
    <w:rsid w:val="00863FE5"/>
    <w:rsid w:val="0086562B"/>
    <w:rsid w:val="008853A6"/>
    <w:rsid w:val="008A6462"/>
    <w:rsid w:val="008D3D38"/>
    <w:rsid w:val="008E2CA0"/>
    <w:rsid w:val="008E40F5"/>
    <w:rsid w:val="008E591A"/>
    <w:rsid w:val="008E739C"/>
    <w:rsid w:val="008F0461"/>
    <w:rsid w:val="008F0CE8"/>
    <w:rsid w:val="009004FF"/>
    <w:rsid w:val="00924F62"/>
    <w:rsid w:val="00935C56"/>
    <w:rsid w:val="00942832"/>
    <w:rsid w:val="00945BBD"/>
    <w:rsid w:val="009559B2"/>
    <w:rsid w:val="00956456"/>
    <w:rsid w:val="009570AD"/>
    <w:rsid w:val="00962895"/>
    <w:rsid w:val="009651C6"/>
    <w:rsid w:val="00971276"/>
    <w:rsid w:val="0098775C"/>
    <w:rsid w:val="009B5866"/>
    <w:rsid w:val="009C3913"/>
    <w:rsid w:val="009D5B6F"/>
    <w:rsid w:val="009E0C87"/>
    <w:rsid w:val="009F02B8"/>
    <w:rsid w:val="00A047FE"/>
    <w:rsid w:val="00A056E8"/>
    <w:rsid w:val="00A22C8E"/>
    <w:rsid w:val="00A23CA4"/>
    <w:rsid w:val="00A25816"/>
    <w:rsid w:val="00A2673A"/>
    <w:rsid w:val="00A600D7"/>
    <w:rsid w:val="00A624CB"/>
    <w:rsid w:val="00A63E29"/>
    <w:rsid w:val="00A8026A"/>
    <w:rsid w:val="00A84236"/>
    <w:rsid w:val="00A91744"/>
    <w:rsid w:val="00AA04E0"/>
    <w:rsid w:val="00AA288C"/>
    <w:rsid w:val="00AA6E12"/>
    <w:rsid w:val="00AB312E"/>
    <w:rsid w:val="00AC148A"/>
    <w:rsid w:val="00AC3063"/>
    <w:rsid w:val="00AC7B37"/>
    <w:rsid w:val="00AC7F8C"/>
    <w:rsid w:val="00AD552E"/>
    <w:rsid w:val="00AD661C"/>
    <w:rsid w:val="00AE06D6"/>
    <w:rsid w:val="00AE4EBE"/>
    <w:rsid w:val="00AE7E1C"/>
    <w:rsid w:val="00AF1050"/>
    <w:rsid w:val="00B11A4E"/>
    <w:rsid w:val="00B12E3A"/>
    <w:rsid w:val="00B75F97"/>
    <w:rsid w:val="00B767A9"/>
    <w:rsid w:val="00B767C6"/>
    <w:rsid w:val="00B86803"/>
    <w:rsid w:val="00B87B88"/>
    <w:rsid w:val="00BA2542"/>
    <w:rsid w:val="00BA66C7"/>
    <w:rsid w:val="00BB46A4"/>
    <w:rsid w:val="00BB5E28"/>
    <w:rsid w:val="00BC0D2C"/>
    <w:rsid w:val="00BC2B2C"/>
    <w:rsid w:val="00BC589B"/>
    <w:rsid w:val="00BC7424"/>
    <w:rsid w:val="00BD5CB4"/>
    <w:rsid w:val="00BD6B8F"/>
    <w:rsid w:val="00BE1D6A"/>
    <w:rsid w:val="00BE7E0E"/>
    <w:rsid w:val="00BF47CF"/>
    <w:rsid w:val="00BF5173"/>
    <w:rsid w:val="00C02162"/>
    <w:rsid w:val="00C0643A"/>
    <w:rsid w:val="00C164CF"/>
    <w:rsid w:val="00C36339"/>
    <w:rsid w:val="00C43DC0"/>
    <w:rsid w:val="00C445DD"/>
    <w:rsid w:val="00C448A5"/>
    <w:rsid w:val="00C56171"/>
    <w:rsid w:val="00C65234"/>
    <w:rsid w:val="00C66A68"/>
    <w:rsid w:val="00C724AF"/>
    <w:rsid w:val="00C74479"/>
    <w:rsid w:val="00C93746"/>
    <w:rsid w:val="00CB2769"/>
    <w:rsid w:val="00CB705C"/>
    <w:rsid w:val="00CB7BF8"/>
    <w:rsid w:val="00CC07D7"/>
    <w:rsid w:val="00CC3447"/>
    <w:rsid w:val="00CD0AA5"/>
    <w:rsid w:val="00CE0D19"/>
    <w:rsid w:val="00CE67EE"/>
    <w:rsid w:val="00CF2A34"/>
    <w:rsid w:val="00D032B6"/>
    <w:rsid w:val="00D0540F"/>
    <w:rsid w:val="00D058DC"/>
    <w:rsid w:val="00D22399"/>
    <w:rsid w:val="00D22DCF"/>
    <w:rsid w:val="00D24D64"/>
    <w:rsid w:val="00D31747"/>
    <w:rsid w:val="00D37A7D"/>
    <w:rsid w:val="00D54F88"/>
    <w:rsid w:val="00D56723"/>
    <w:rsid w:val="00D8379C"/>
    <w:rsid w:val="00D8774A"/>
    <w:rsid w:val="00D9126A"/>
    <w:rsid w:val="00D9287D"/>
    <w:rsid w:val="00D93B9D"/>
    <w:rsid w:val="00D974A3"/>
    <w:rsid w:val="00D979B5"/>
    <w:rsid w:val="00DA14CB"/>
    <w:rsid w:val="00DC0114"/>
    <w:rsid w:val="00DC1E59"/>
    <w:rsid w:val="00DC6FBF"/>
    <w:rsid w:val="00DF1517"/>
    <w:rsid w:val="00DF5A87"/>
    <w:rsid w:val="00E014C9"/>
    <w:rsid w:val="00E031BA"/>
    <w:rsid w:val="00E113E8"/>
    <w:rsid w:val="00E14B8D"/>
    <w:rsid w:val="00E17F0C"/>
    <w:rsid w:val="00E22CC0"/>
    <w:rsid w:val="00E31849"/>
    <w:rsid w:val="00E37482"/>
    <w:rsid w:val="00E41B5D"/>
    <w:rsid w:val="00E4649E"/>
    <w:rsid w:val="00E467AF"/>
    <w:rsid w:val="00E61FA1"/>
    <w:rsid w:val="00E714E9"/>
    <w:rsid w:val="00E71634"/>
    <w:rsid w:val="00E7692C"/>
    <w:rsid w:val="00E92B3F"/>
    <w:rsid w:val="00EA4FEF"/>
    <w:rsid w:val="00EB0AEB"/>
    <w:rsid w:val="00EB238B"/>
    <w:rsid w:val="00EB4640"/>
    <w:rsid w:val="00EC385E"/>
    <w:rsid w:val="00EC4F0F"/>
    <w:rsid w:val="00ED1834"/>
    <w:rsid w:val="00ED6C79"/>
    <w:rsid w:val="00EE78E4"/>
    <w:rsid w:val="00F02AC2"/>
    <w:rsid w:val="00F07F3E"/>
    <w:rsid w:val="00F4101C"/>
    <w:rsid w:val="00F41818"/>
    <w:rsid w:val="00F448A1"/>
    <w:rsid w:val="00F529FF"/>
    <w:rsid w:val="00F54386"/>
    <w:rsid w:val="00F71981"/>
    <w:rsid w:val="00F74947"/>
    <w:rsid w:val="00F818A1"/>
    <w:rsid w:val="00F93786"/>
    <w:rsid w:val="00F94291"/>
    <w:rsid w:val="00FB016C"/>
    <w:rsid w:val="00FB240E"/>
    <w:rsid w:val="00FB487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AF7E8"/>
  <w15:chartTrackingRefBased/>
  <w15:docId w15:val="{BCCD4456-51BF-4271-9B89-3C9D1C7A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64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42640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26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4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E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5C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F2A"/>
  </w:style>
  <w:style w:type="paragraph" w:styleId="Stopka">
    <w:name w:val="footer"/>
    <w:basedOn w:val="Normalny"/>
    <w:link w:val="StopkaZnak"/>
    <w:uiPriority w:val="99"/>
    <w:unhideWhenUsed/>
    <w:rsid w:val="001C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F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9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zus.pl/kategorie/ubezpieczeni/ubezpieczenia-emerytalne-i-rentowe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psz.praca.gov.pl/rynek-pracy/statystyki-i-analizy/zatrudnianie-cudzoziemcow-w-polsce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hyperlink" Target="https://udsc.gov.pl/statystyki/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www.migracje.gov.pl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z_baryla\AppData\Local\Temp\Zezwolenia%20na%20prac&#281;%20-%20wnioski-5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z_baryla\Desktop\Tomasz%20Bary&#322;a%20do%20przeniesienia\Analizy%20zarz&#261;dcze\Pliki%20&#378;r&#243;d&#322;owe\grudzie&#324;%202020\O&#347;wiadczenia%20wpisane%20do%20ewidencji%20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z_baryla\Desktop\Tomasz%20Bary&#322;a%20do%20przeniesienia\Analizy%20zarz&#261;dcze\Pliki%20&#378;r&#243;d&#322;owe\grudzie&#324;%202020\210112sprawy%20w%20toku%20i%20czas%20post&#281;powania%20-%2031%20grudnia%20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z_baryla\Desktop\Tomasz%20Bary&#322;a%20do%20przeniesienia\Analizy%20zarz&#261;dcze\Pliki%20&#378;r&#243;d&#322;owe\grudzie&#324;%202020\O&#347;wiadczenia%20wpisane%20do%20ewidencji%20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z_baryla\AppData\Local\Temp\Prace%20sezonowe%20-%20pozytywne%20rozstrzygni&#281;cia%20-%20zestawienie%20roczne-2.csv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z_baryla\AppData\Local\Temp\Zezwolenia%20na%20prac&#281;%20-%20pozytywne%20rozstrzygni&#281;cia%20-%20zestawienie%20roczne-4.csv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masz_baryla\Desktop\Tomasz%20Bary&#322;a%20do%20przeniesienia\Analizy%20zarz&#261;dcze\Analiza%20dla%20Mazowieckiego%20UW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asz_baryla\Desktop\Tomasz%20Bary&#322;a%20do%20przeniesienia\Analizy%20zarz&#261;dcze\Analiza%20dla%20Mazowieckiego%20UW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z_baryla\Desktop\Tomasz%20Bary&#322;a%20do%20przeniesienia\Analizy%20zarz&#261;dcze\Pliki%20&#378;r&#243;d&#322;owe\grudzie&#324;%202020\Praca%20-%20pozytywne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z_baryla\Desktop\Tomasz%20Bary&#322;a%20do%20przeniesienia\Analizy%20zarz&#261;dcze\Pliki%20&#378;r&#243;d&#322;owe\grudzie&#324;%202020\Praca%20-%20pozytywne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z_baryla\Desktop\Tomasz%20Bary&#322;a%20do%20przeniesienia\Analizy%20zarz&#261;dcze\Pliki%20&#378;r&#243;d&#322;owe\grudzie&#324;%202020\210112sprawy%20w%20toku%20i%20czas%20post&#281;powania%20-%2031%20grudnia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z_baryla\Desktop\Tomasz%20Bary&#322;a%20do%20przeniesienia\Analizy%20zarz&#261;dcze\Pliki%20&#378;r&#243;d&#322;owe\grudzie&#324;%202020\O&#347;wiadczenia%20wpisane%20do%20ewidencji%20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masz_baryla\AppData\Local\Temp\O&#347;wiadczenia%20wpisane%20do%20ewidencji%20-%20zestawienie%20roczne-4.csv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0" i="0" baseline="0">
                <a:effectLst/>
              </a:rPr>
              <a:t>Liczba wniosków, o udzielenie zezwolenia na pracę złożonych w okrsie 2015-2020</a:t>
            </a:r>
            <a:endParaRPr lang="pl-PL" sz="1000">
              <a:effectLst/>
            </a:endParaRPr>
          </a:p>
        </c:rich>
      </c:tx>
      <c:layout>
        <c:manualLayout>
          <c:xMode val="edge"/>
          <c:yMode val="edge"/>
          <c:x val="0.11688564476885643"/>
          <c:y val="0.191126279863481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0"/>
      <c:rotY val="5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1291243428414E-2"/>
          <c:y val="5.9002624671915999E-2"/>
          <c:w val="0.89558769655303661"/>
          <c:h val="0.74082657578250466"/>
        </c:manualLayout>
      </c:layout>
      <c:line3DChart>
        <c:grouping val="standard"/>
        <c:varyColors val="0"/>
        <c:ser>
          <c:idx val="0"/>
          <c:order val="0"/>
          <c:tx>
            <c:strRef>
              <c:f>Arkusz1!$J$4</c:f>
              <c:strCache>
                <c:ptCount val="1"/>
                <c:pt idx="0">
                  <c:v>Liczba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multiLvlStrRef>
              <c:f>Arkusz1!$H$5:$I$76</c:f>
              <c:multiLvlStrCache>
                <c:ptCount val="72"/>
                <c:lvl>
                  <c:pt idx="0">
                    <c:v>sty</c:v>
                  </c:pt>
                  <c:pt idx="1">
                    <c:v>lut</c:v>
                  </c:pt>
                  <c:pt idx="2">
                    <c:v>mar</c:v>
                  </c:pt>
                  <c:pt idx="3">
                    <c:v>kwi</c:v>
                  </c:pt>
                  <c:pt idx="4">
                    <c:v>maj</c:v>
                  </c:pt>
                  <c:pt idx="5">
                    <c:v>cze</c:v>
                  </c:pt>
                  <c:pt idx="6">
                    <c:v>lip</c:v>
                  </c:pt>
                  <c:pt idx="7">
                    <c:v>sie</c:v>
                  </c:pt>
                  <c:pt idx="8">
                    <c:v>wrz</c:v>
                  </c:pt>
                  <c:pt idx="9">
                    <c:v>paź</c:v>
                  </c:pt>
                  <c:pt idx="10">
                    <c:v>lis</c:v>
                  </c:pt>
                  <c:pt idx="11">
                    <c:v>gru</c:v>
                  </c:pt>
                  <c:pt idx="12">
                    <c:v>sty</c:v>
                  </c:pt>
                  <c:pt idx="13">
                    <c:v>lut</c:v>
                  </c:pt>
                  <c:pt idx="14">
                    <c:v>mar</c:v>
                  </c:pt>
                  <c:pt idx="15">
                    <c:v>kwi</c:v>
                  </c:pt>
                  <c:pt idx="16">
                    <c:v>maj</c:v>
                  </c:pt>
                  <c:pt idx="17">
                    <c:v>cze</c:v>
                  </c:pt>
                  <c:pt idx="18">
                    <c:v>lip</c:v>
                  </c:pt>
                  <c:pt idx="19">
                    <c:v>sie</c:v>
                  </c:pt>
                  <c:pt idx="20">
                    <c:v>wrz</c:v>
                  </c:pt>
                  <c:pt idx="21">
                    <c:v>paź</c:v>
                  </c:pt>
                  <c:pt idx="22">
                    <c:v>lis</c:v>
                  </c:pt>
                  <c:pt idx="23">
                    <c:v>gru</c:v>
                  </c:pt>
                  <c:pt idx="24">
                    <c:v>sty</c:v>
                  </c:pt>
                  <c:pt idx="25">
                    <c:v>lut</c:v>
                  </c:pt>
                  <c:pt idx="26">
                    <c:v>mar</c:v>
                  </c:pt>
                  <c:pt idx="27">
                    <c:v>kwi</c:v>
                  </c:pt>
                  <c:pt idx="28">
                    <c:v>maj</c:v>
                  </c:pt>
                  <c:pt idx="29">
                    <c:v>cze</c:v>
                  </c:pt>
                  <c:pt idx="30">
                    <c:v>lip</c:v>
                  </c:pt>
                  <c:pt idx="31">
                    <c:v>sie</c:v>
                  </c:pt>
                  <c:pt idx="32">
                    <c:v>wrz</c:v>
                  </c:pt>
                  <c:pt idx="33">
                    <c:v>paź</c:v>
                  </c:pt>
                  <c:pt idx="34">
                    <c:v>lis</c:v>
                  </c:pt>
                  <c:pt idx="35">
                    <c:v>gru</c:v>
                  </c:pt>
                  <c:pt idx="36">
                    <c:v>sty</c:v>
                  </c:pt>
                  <c:pt idx="37">
                    <c:v>lut</c:v>
                  </c:pt>
                  <c:pt idx="38">
                    <c:v>mar</c:v>
                  </c:pt>
                  <c:pt idx="39">
                    <c:v>kwi</c:v>
                  </c:pt>
                  <c:pt idx="40">
                    <c:v>maj</c:v>
                  </c:pt>
                  <c:pt idx="41">
                    <c:v>cze</c:v>
                  </c:pt>
                  <c:pt idx="42">
                    <c:v>lip</c:v>
                  </c:pt>
                  <c:pt idx="43">
                    <c:v>sie</c:v>
                  </c:pt>
                  <c:pt idx="44">
                    <c:v>wrz</c:v>
                  </c:pt>
                  <c:pt idx="45">
                    <c:v>paź</c:v>
                  </c:pt>
                  <c:pt idx="46">
                    <c:v>lis</c:v>
                  </c:pt>
                  <c:pt idx="47">
                    <c:v>gru</c:v>
                  </c:pt>
                  <c:pt idx="48">
                    <c:v>sty</c:v>
                  </c:pt>
                  <c:pt idx="49">
                    <c:v>lut</c:v>
                  </c:pt>
                  <c:pt idx="50">
                    <c:v>mar</c:v>
                  </c:pt>
                  <c:pt idx="51">
                    <c:v>kwi</c:v>
                  </c:pt>
                  <c:pt idx="52">
                    <c:v>maj</c:v>
                  </c:pt>
                  <c:pt idx="53">
                    <c:v>cze</c:v>
                  </c:pt>
                  <c:pt idx="54">
                    <c:v>lip</c:v>
                  </c:pt>
                  <c:pt idx="55">
                    <c:v>sie</c:v>
                  </c:pt>
                  <c:pt idx="56">
                    <c:v>wrz</c:v>
                  </c:pt>
                  <c:pt idx="57">
                    <c:v>paź</c:v>
                  </c:pt>
                  <c:pt idx="58">
                    <c:v>lis</c:v>
                  </c:pt>
                  <c:pt idx="59">
                    <c:v>gru</c:v>
                  </c:pt>
                  <c:pt idx="60">
                    <c:v>sty</c:v>
                  </c:pt>
                  <c:pt idx="61">
                    <c:v>lut</c:v>
                  </c:pt>
                  <c:pt idx="62">
                    <c:v>mar</c:v>
                  </c:pt>
                  <c:pt idx="63">
                    <c:v>kwi</c:v>
                  </c:pt>
                  <c:pt idx="64">
                    <c:v>maj</c:v>
                  </c:pt>
                  <c:pt idx="65">
                    <c:v>cze</c:v>
                  </c:pt>
                  <c:pt idx="66">
                    <c:v>lip</c:v>
                  </c:pt>
                  <c:pt idx="67">
                    <c:v>sie</c:v>
                  </c:pt>
                  <c:pt idx="68">
                    <c:v>wrz</c:v>
                  </c:pt>
                  <c:pt idx="69">
                    <c:v>paź</c:v>
                  </c:pt>
                  <c:pt idx="70">
                    <c:v>lis</c:v>
                  </c:pt>
                  <c:pt idx="71">
                    <c:v>gru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Arkusz1!$J$5:$J$76</c:f>
              <c:numCache>
                <c:formatCode>General</c:formatCode>
                <c:ptCount val="72"/>
                <c:pt idx="0">
                  <c:v>4716</c:v>
                </c:pt>
                <c:pt idx="1">
                  <c:v>5413</c:v>
                </c:pt>
                <c:pt idx="2">
                  <c:v>5877</c:v>
                </c:pt>
                <c:pt idx="3">
                  <c:v>5117</c:v>
                </c:pt>
                <c:pt idx="4">
                  <c:v>4749</c:v>
                </c:pt>
                <c:pt idx="5">
                  <c:v>5716</c:v>
                </c:pt>
                <c:pt idx="6">
                  <c:v>7169</c:v>
                </c:pt>
                <c:pt idx="7">
                  <c:v>6531</c:v>
                </c:pt>
                <c:pt idx="8">
                  <c:v>7492</c:v>
                </c:pt>
                <c:pt idx="9">
                  <c:v>7768</c:v>
                </c:pt>
                <c:pt idx="10">
                  <c:v>8842</c:v>
                </c:pt>
                <c:pt idx="11">
                  <c:v>8473</c:v>
                </c:pt>
                <c:pt idx="12">
                  <c:v>8202</c:v>
                </c:pt>
                <c:pt idx="13">
                  <c:v>9563</c:v>
                </c:pt>
                <c:pt idx="14">
                  <c:v>10573</c:v>
                </c:pt>
                <c:pt idx="15">
                  <c:v>10837</c:v>
                </c:pt>
                <c:pt idx="16">
                  <c:v>8656</c:v>
                </c:pt>
                <c:pt idx="17">
                  <c:v>10698</c:v>
                </c:pt>
                <c:pt idx="18">
                  <c:v>11940</c:v>
                </c:pt>
                <c:pt idx="19">
                  <c:v>13376</c:v>
                </c:pt>
                <c:pt idx="20">
                  <c:v>14708</c:v>
                </c:pt>
                <c:pt idx="21">
                  <c:v>16557</c:v>
                </c:pt>
                <c:pt idx="22">
                  <c:v>17063</c:v>
                </c:pt>
                <c:pt idx="23">
                  <c:v>17932</c:v>
                </c:pt>
                <c:pt idx="24">
                  <c:v>17958</c:v>
                </c:pt>
                <c:pt idx="25">
                  <c:v>21258</c:v>
                </c:pt>
                <c:pt idx="26">
                  <c:v>24085</c:v>
                </c:pt>
                <c:pt idx="27">
                  <c:v>20417</c:v>
                </c:pt>
                <c:pt idx="28">
                  <c:v>22763</c:v>
                </c:pt>
                <c:pt idx="29">
                  <c:v>23684</c:v>
                </c:pt>
                <c:pt idx="30">
                  <c:v>23945</c:v>
                </c:pt>
                <c:pt idx="31">
                  <c:v>25180</c:v>
                </c:pt>
                <c:pt idx="32">
                  <c:v>27268</c:v>
                </c:pt>
                <c:pt idx="33">
                  <c:v>31466</c:v>
                </c:pt>
                <c:pt idx="34">
                  <c:v>32028</c:v>
                </c:pt>
                <c:pt idx="35">
                  <c:v>32012</c:v>
                </c:pt>
                <c:pt idx="36">
                  <c:v>20077</c:v>
                </c:pt>
                <c:pt idx="37">
                  <c:v>21001</c:v>
                </c:pt>
                <c:pt idx="38">
                  <c:v>23618</c:v>
                </c:pt>
                <c:pt idx="39">
                  <c:v>22659</c:v>
                </c:pt>
                <c:pt idx="40">
                  <c:v>23700</c:v>
                </c:pt>
                <c:pt idx="41">
                  <c:v>27713</c:v>
                </c:pt>
                <c:pt idx="42">
                  <c:v>34126</c:v>
                </c:pt>
                <c:pt idx="43">
                  <c:v>36298</c:v>
                </c:pt>
                <c:pt idx="44">
                  <c:v>35291</c:v>
                </c:pt>
                <c:pt idx="45">
                  <c:v>44830</c:v>
                </c:pt>
                <c:pt idx="46">
                  <c:v>45189</c:v>
                </c:pt>
                <c:pt idx="47">
                  <c:v>37701</c:v>
                </c:pt>
                <c:pt idx="48">
                  <c:v>40794</c:v>
                </c:pt>
                <c:pt idx="49">
                  <c:v>40526</c:v>
                </c:pt>
                <c:pt idx="50">
                  <c:v>44476</c:v>
                </c:pt>
                <c:pt idx="51">
                  <c:v>40404</c:v>
                </c:pt>
                <c:pt idx="52">
                  <c:v>41581</c:v>
                </c:pt>
                <c:pt idx="53">
                  <c:v>36824</c:v>
                </c:pt>
                <c:pt idx="54">
                  <c:v>44743</c:v>
                </c:pt>
                <c:pt idx="55">
                  <c:v>39471</c:v>
                </c:pt>
                <c:pt idx="56">
                  <c:v>42122</c:v>
                </c:pt>
                <c:pt idx="57">
                  <c:v>47271</c:v>
                </c:pt>
                <c:pt idx="58">
                  <c:v>41898</c:v>
                </c:pt>
                <c:pt idx="59">
                  <c:v>34991</c:v>
                </c:pt>
                <c:pt idx="60">
                  <c:v>40824</c:v>
                </c:pt>
                <c:pt idx="61">
                  <c:v>43211</c:v>
                </c:pt>
                <c:pt idx="62">
                  <c:v>36904</c:v>
                </c:pt>
                <c:pt idx="63">
                  <c:v>25933</c:v>
                </c:pt>
                <c:pt idx="64">
                  <c:v>31594</c:v>
                </c:pt>
                <c:pt idx="65">
                  <c:v>34987</c:v>
                </c:pt>
                <c:pt idx="66">
                  <c:v>39232</c:v>
                </c:pt>
                <c:pt idx="67">
                  <c:v>34840</c:v>
                </c:pt>
                <c:pt idx="68">
                  <c:v>40265</c:v>
                </c:pt>
                <c:pt idx="69">
                  <c:v>44551</c:v>
                </c:pt>
                <c:pt idx="70">
                  <c:v>40139</c:v>
                </c:pt>
                <c:pt idx="71">
                  <c:v>37114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A8-43AA-AB2F-BE05FE7101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81256784"/>
        <c:axId val="-581249168"/>
        <c:axId val="-435410288"/>
      </c:line3DChart>
      <c:catAx>
        <c:axId val="-58125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49168"/>
        <c:crosses val="autoZero"/>
        <c:auto val="1"/>
        <c:lblAlgn val="ctr"/>
        <c:lblOffset val="100"/>
        <c:noMultiLvlLbl val="0"/>
      </c:catAx>
      <c:valAx>
        <c:axId val="-58124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56784"/>
        <c:crosses val="autoZero"/>
        <c:crossBetween val="between"/>
      </c:valAx>
      <c:serAx>
        <c:axId val="-435410288"/>
        <c:scaling>
          <c:orientation val="minMax"/>
        </c:scaling>
        <c:delete val="1"/>
        <c:axPos val="b"/>
        <c:majorTickMark val="out"/>
        <c:minorTickMark val="none"/>
        <c:tickLblPos val="nextTo"/>
        <c:crossAx val="-58124916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u="none" strike="noStrike" baseline="0">
                <a:effectLst/>
              </a:rPr>
              <a:t>Liczba oświadczeń</a:t>
            </a:r>
            <a:r>
              <a:rPr lang="pl-PL" sz="1200" b="0" i="0" u="none" strike="noStrike" baseline="0">
                <a:effectLst/>
              </a:rPr>
              <a:t> wpisanych do ewidencji w 2020 wg sekcji PKD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"/>
      <c:rotY val="5"/>
      <c:rAngAx val="0"/>
      <c:perspective val="1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Arkusz2!$B$31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Arkusz2!$A$32:$A$52</c:f>
              <c:strCache>
                <c:ptCount val="21"/>
                <c:pt idx="1">
                  <c:v>BUDOWNICTWO</c:v>
                </c:pt>
                <c:pt idx="2">
                  <c:v>TRANSPORT I GOSPODARKA MAGAZYNOWA</c:v>
                </c:pt>
                <c:pt idx="3">
                  <c:v>DZIAŁALNOŚĆ W ZAKRESIE USŁUG ADMINISTROWANIA I DZIAŁALNOŚĆ WSPIERAJĄCA</c:v>
                </c:pt>
                <c:pt idx="4">
                  <c:v>HANDEL HURTOWY I DETALICZNY; NAPRAWA POJAZDÓW SAMOCHODOWYCH, WŁĄCZAJĄC MOTOCYKLE</c:v>
                </c:pt>
                <c:pt idx="5">
                  <c:v>DZIAŁALNOŚĆ ZWIĄZANA Z ZAKWATEROWANIEM I USŁUGAMI GASTRONOMICZNYMI</c:v>
                </c:pt>
                <c:pt idx="6">
                  <c:v>ROLNICTWO, LEŚNICTWO, ŁOWIECTWO I RYBACTWO</c:v>
                </c:pt>
                <c:pt idx="7">
                  <c:v>POZOSTAŁA DZIAŁALNOŚĆ USŁUGOWA</c:v>
                </c:pt>
                <c:pt idx="8">
                  <c:v>OPIEKA ZDROWOTNA I POMOC SPOŁECZNA</c:v>
                </c:pt>
                <c:pt idx="9">
                  <c:v>DZIAŁALNOŚĆ PROFESJONALNA, NAUKOWA I TECHNICZNA</c:v>
                </c:pt>
                <c:pt idx="10">
                  <c:v>DOSTAWA WODY; GOSPODAROWANIE ŚCIEKAMI I ODPADAMI ORAZ DZIAŁALNOŚĆ ZWIĄZANA Z REKULTYWACJĄ</c:v>
                </c:pt>
                <c:pt idx="11">
                  <c:v>GOSPODARSTWA DOMOWE ZATRUDNIAJĄCE PRACOWNIKÓW; GOSPODARSTWA DOMOWE PRODUKUJĄCE WYROBY I ŚWIADCZĄCE USŁUGI NA WŁASNE POTRZEBY</c:v>
                </c:pt>
                <c:pt idx="12">
                  <c:v>INFORMACJA I KOMUNIKACJA</c:v>
                </c:pt>
                <c:pt idx="13">
                  <c:v>DZIAŁALNOŚĆ ZWIĄZANA Z OBSŁUGĄ RYNKU NIERUCHOMOŚCI</c:v>
                </c:pt>
                <c:pt idx="14">
                  <c:v>DZIAŁALNOŚĆ ZWIĄZANA Z KULTURĄ, ROZRYWKĄ I REKREACJĄ</c:v>
                </c:pt>
                <c:pt idx="15">
                  <c:v>EDUKACJA</c:v>
                </c:pt>
                <c:pt idx="16">
                  <c:v>GÓRNICTWO I WYDOBYWANIE</c:v>
                </c:pt>
                <c:pt idx="17">
                  <c:v>DZIAŁALNOŚĆ FINANSOWA I UBEZPIECZENIOWA</c:v>
                </c:pt>
                <c:pt idx="18">
                  <c:v>WYTWARZANIE I ZAOPATRYWANIE W ENERGIĘ ELEKTRYCZNĄ, GAZ, PARĘ WODNĄ, GORĄCĄ WODĘ I POWIETRZE DO UKŁADÓW KLIMATYZACYJNYCH</c:v>
                </c:pt>
                <c:pt idx="19">
                  <c:v>ADMINISTRACJA PUBLICZNA I OBRONA NARODOWA; OBOWIĄZKOWE ZABEZPIECZENIA SPOŁECZNE</c:v>
                </c:pt>
                <c:pt idx="20">
                  <c:v>ORGANIZACJE I ZESPOŁY EKSTERYTORIALNE</c:v>
                </c:pt>
              </c:strCache>
            </c:strRef>
          </c:cat>
          <c:val>
            <c:numRef>
              <c:f>Arkusz2!$B$32:$B$52</c:f>
              <c:numCache>
                <c:formatCode>General</c:formatCode>
                <c:ptCount val="21"/>
                <c:pt idx="1">
                  <c:v>270719</c:v>
                </c:pt>
                <c:pt idx="2">
                  <c:v>254786</c:v>
                </c:pt>
                <c:pt idx="3">
                  <c:v>223427</c:v>
                </c:pt>
                <c:pt idx="4">
                  <c:v>65541</c:v>
                </c:pt>
                <c:pt idx="5">
                  <c:v>37239</c:v>
                </c:pt>
                <c:pt idx="6">
                  <c:v>24872</c:v>
                </c:pt>
                <c:pt idx="7">
                  <c:v>16296</c:v>
                </c:pt>
                <c:pt idx="8">
                  <c:v>16023</c:v>
                </c:pt>
                <c:pt idx="9">
                  <c:v>12036</c:v>
                </c:pt>
                <c:pt idx="10">
                  <c:v>10861</c:v>
                </c:pt>
                <c:pt idx="11">
                  <c:v>5243</c:v>
                </c:pt>
                <c:pt idx="12">
                  <c:v>3336</c:v>
                </c:pt>
                <c:pt idx="13">
                  <c:v>1974</c:v>
                </c:pt>
                <c:pt idx="14">
                  <c:v>1829</c:v>
                </c:pt>
                <c:pt idx="15">
                  <c:v>958</c:v>
                </c:pt>
                <c:pt idx="16">
                  <c:v>620</c:v>
                </c:pt>
                <c:pt idx="17">
                  <c:v>563</c:v>
                </c:pt>
                <c:pt idx="18">
                  <c:v>192</c:v>
                </c:pt>
                <c:pt idx="19">
                  <c:v>34</c:v>
                </c:pt>
                <c:pt idx="2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84-4E63-8DA0-14E1276904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shape val="box"/>
        <c:axId val="-581257872"/>
        <c:axId val="-581256240"/>
        <c:axId val="0"/>
      </c:bar3DChart>
      <c:catAx>
        <c:axId val="-58125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56240"/>
        <c:crosses val="autoZero"/>
        <c:auto val="1"/>
        <c:lblAlgn val="ctr"/>
        <c:lblOffset val="100"/>
        <c:noMultiLvlLbl val="0"/>
      </c:catAx>
      <c:valAx>
        <c:axId val="-581256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5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u="none" strike="noStrike" baseline="0">
                <a:effectLst/>
              </a:rPr>
              <a:t>Liczba wniosków i zezwoleń na pracę sezonową - 2020 rok</a:t>
            </a:r>
            <a:r>
              <a:rPr lang="pl-PL" sz="1200" b="0" i="0" u="none" strike="noStrike" baseline="0"/>
              <a:t> </a:t>
            </a:r>
            <a:endParaRPr lang="pl-PL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"/>
      <c:rotY val="5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'Zezw. na pracę sez i wn. - mies'!$C$2</c:f>
              <c:strCache>
                <c:ptCount val="1"/>
                <c:pt idx="0">
                  <c:v>wnioski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'Zezw. na pracę sez i wn. - mies'!$B$3:$B$14</c:f>
              <c:strCache>
                <c:ptCount val="12"/>
                <c:pt idx="0">
                  <c:v>2020-01</c:v>
                </c:pt>
                <c:pt idx="1">
                  <c:v>2020-02</c:v>
                </c:pt>
                <c:pt idx="2">
                  <c:v>2020-03</c:v>
                </c:pt>
                <c:pt idx="3">
                  <c:v>2020-04</c:v>
                </c:pt>
                <c:pt idx="4">
                  <c:v>2020-05</c:v>
                </c:pt>
                <c:pt idx="5">
                  <c:v>2020-06</c:v>
                </c:pt>
                <c:pt idx="6">
                  <c:v>2020-07</c:v>
                </c:pt>
                <c:pt idx="7">
                  <c:v>2020-08</c:v>
                </c:pt>
                <c:pt idx="8">
                  <c:v>2020-09</c:v>
                </c:pt>
                <c:pt idx="9">
                  <c:v>2020-10</c:v>
                </c:pt>
                <c:pt idx="10">
                  <c:v>2020-11</c:v>
                </c:pt>
                <c:pt idx="11">
                  <c:v>2020-12</c:v>
                </c:pt>
              </c:strCache>
            </c:strRef>
          </c:cat>
          <c:val>
            <c:numRef>
              <c:f>'Zezw. na pracę sez i wn. - mies'!$C$3:$C$14</c:f>
              <c:numCache>
                <c:formatCode>General</c:formatCode>
                <c:ptCount val="12"/>
                <c:pt idx="0">
                  <c:v>39427</c:v>
                </c:pt>
                <c:pt idx="1">
                  <c:v>39838</c:v>
                </c:pt>
                <c:pt idx="2">
                  <c:v>29355</c:v>
                </c:pt>
                <c:pt idx="3">
                  <c:v>14274</c:v>
                </c:pt>
                <c:pt idx="4">
                  <c:v>57929</c:v>
                </c:pt>
                <c:pt idx="5">
                  <c:v>47710</c:v>
                </c:pt>
                <c:pt idx="6">
                  <c:v>39375</c:v>
                </c:pt>
                <c:pt idx="7">
                  <c:v>28168</c:v>
                </c:pt>
                <c:pt idx="8">
                  <c:v>23366</c:v>
                </c:pt>
                <c:pt idx="9">
                  <c:v>11134</c:v>
                </c:pt>
                <c:pt idx="10">
                  <c:v>9443</c:v>
                </c:pt>
                <c:pt idx="11">
                  <c:v>26256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B-4969-B517-9D7600955E48}"/>
            </c:ext>
          </c:extLst>
        </c:ser>
        <c:ser>
          <c:idx val="1"/>
          <c:order val="1"/>
          <c:tx>
            <c:strRef>
              <c:f>'Zezw. na pracę sez i wn. - mies'!$D$2</c:f>
              <c:strCache>
                <c:ptCount val="1"/>
                <c:pt idx="0">
                  <c:v>zezwolenia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9"/>
              <c:layout>
                <c:manualLayout>
                  <c:x val="1.0077597500755819E-2"/>
                  <c:y val="-1.966568338249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4B-4969-B517-9D7600955E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'Zezw. na pracę sez i wn. - mies'!$B$3:$B$14</c:f>
              <c:strCache>
                <c:ptCount val="12"/>
                <c:pt idx="0">
                  <c:v>2020-01</c:v>
                </c:pt>
                <c:pt idx="1">
                  <c:v>2020-02</c:v>
                </c:pt>
                <c:pt idx="2">
                  <c:v>2020-03</c:v>
                </c:pt>
                <c:pt idx="3">
                  <c:v>2020-04</c:v>
                </c:pt>
                <c:pt idx="4">
                  <c:v>2020-05</c:v>
                </c:pt>
                <c:pt idx="5">
                  <c:v>2020-06</c:v>
                </c:pt>
                <c:pt idx="6">
                  <c:v>2020-07</c:v>
                </c:pt>
                <c:pt idx="7">
                  <c:v>2020-08</c:v>
                </c:pt>
                <c:pt idx="8">
                  <c:v>2020-09</c:v>
                </c:pt>
                <c:pt idx="9">
                  <c:v>2020-10</c:v>
                </c:pt>
                <c:pt idx="10">
                  <c:v>2020-11</c:v>
                </c:pt>
                <c:pt idx="11">
                  <c:v>2020-12</c:v>
                </c:pt>
              </c:strCache>
            </c:strRef>
          </c:cat>
          <c:val>
            <c:numRef>
              <c:f>'Zezw. na pracę sez i wn. - mies'!$D$3:$D$14</c:f>
              <c:numCache>
                <c:formatCode>General</c:formatCode>
                <c:ptCount val="12"/>
                <c:pt idx="0">
                  <c:v>2778</c:v>
                </c:pt>
                <c:pt idx="1">
                  <c:v>4605</c:v>
                </c:pt>
                <c:pt idx="2">
                  <c:v>6202</c:v>
                </c:pt>
                <c:pt idx="3">
                  <c:v>3138</c:v>
                </c:pt>
                <c:pt idx="4">
                  <c:v>8520</c:v>
                </c:pt>
                <c:pt idx="5">
                  <c:v>34847</c:v>
                </c:pt>
                <c:pt idx="6">
                  <c:v>30370</c:v>
                </c:pt>
                <c:pt idx="7">
                  <c:v>14686</c:v>
                </c:pt>
                <c:pt idx="8">
                  <c:v>16441</c:v>
                </c:pt>
                <c:pt idx="9">
                  <c:v>11703</c:v>
                </c:pt>
                <c:pt idx="10">
                  <c:v>2476</c:v>
                </c:pt>
                <c:pt idx="11">
                  <c:v>1295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4B-4969-B517-9D7600955E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581254608"/>
        <c:axId val="-581254064"/>
        <c:axId val="0"/>
      </c:bar3DChart>
      <c:catAx>
        <c:axId val="-581254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54064"/>
        <c:crosses val="autoZero"/>
        <c:auto val="1"/>
        <c:lblAlgn val="ctr"/>
        <c:lblOffset val="100"/>
        <c:noMultiLvlLbl val="0"/>
      </c:catAx>
      <c:valAx>
        <c:axId val="-58125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5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0" i="0" u="none" strike="noStrike" baseline="0">
                <a:effectLst/>
              </a:rPr>
              <a:t>zezwolenia na pracę sezonową wydane w 2020 roku wg miejsca wykonywania pracy </a:t>
            </a:r>
            <a:endParaRPr lang="pl-PL" sz="11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"/>
      <c:rotY val="5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Arkusz3!$G$4:$G$20</c:f>
              <c:strCache>
                <c:ptCount val="17"/>
                <c:pt idx="0">
                  <c:v>brak danych źródłowych</c:v>
                </c:pt>
                <c:pt idx="1">
                  <c:v>opolskie</c:v>
                </c:pt>
                <c:pt idx="2">
                  <c:v>warmińsko-mazurskie</c:v>
                </c:pt>
                <c:pt idx="3">
                  <c:v>śląskie</c:v>
                </c:pt>
                <c:pt idx="4">
                  <c:v>podkarpackie</c:v>
                </c:pt>
                <c:pt idx="5">
                  <c:v>kujawsko-pomorskie</c:v>
                </c:pt>
                <c:pt idx="6">
                  <c:v>podlaskie</c:v>
                </c:pt>
                <c:pt idx="7">
                  <c:v>pomorskie</c:v>
                </c:pt>
                <c:pt idx="8">
                  <c:v>lubuskie</c:v>
                </c:pt>
                <c:pt idx="9">
                  <c:v>małopolskie</c:v>
                </c:pt>
                <c:pt idx="10">
                  <c:v>zachodniopomorskie</c:v>
                </c:pt>
                <c:pt idx="11">
                  <c:v>świętokrzyskie</c:v>
                </c:pt>
                <c:pt idx="12">
                  <c:v>dolnośląskie</c:v>
                </c:pt>
                <c:pt idx="13">
                  <c:v>wielkopolskie</c:v>
                </c:pt>
                <c:pt idx="14">
                  <c:v>łódzkie</c:v>
                </c:pt>
                <c:pt idx="15">
                  <c:v>lubelskie</c:v>
                </c:pt>
                <c:pt idx="16">
                  <c:v>mazowieckie</c:v>
                </c:pt>
              </c:strCache>
            </c:strRef>
          </c:cat>
          <c:val>
            <c:numRef>
              <c:f>Arkusz3!$H$4:$H$20</c:f>
              <c:numCache>
                <c:formatCode>General</c:formatCode>
                <c:ptCount val="17"/>
                <c:pt idx="0">
                  <c:v>332</c:v>
                </c:pt>
                <c:pt idx="1">
                  <c:v>710</c:v>
                </c:pt>
                <c:pt idx="2">
                  <c:v>1037</c:v>
                </c:pt>
                <c:pt idx="3">
                  <c:v>1411</c:v>
                </c:pt>
                <c:pt idx="4">
                  <c:v>1443</c:v>
                </c:pt>
                <c:pt idx="5">
                  <c:v>1600</c:v>
                </c:pt>
                <c:pt idx="6">
                  <c:v>2175</c:v>
                </c:pt>
                <c:pt idx="7">
                  <c:v>2209</c:v>
                </c:pt>
                <c:pt idx="8">
                  <c:v>2259</c:v>
                </c:pt>
                <c:pt idx="9">
                  <c:v>2582</c:v>
                </c:pt>
                <c:pt idx="10">
                  <c:v>4298</c:v>
                </c:pt>
                <c:pt idx="11">
                  <c:v>6248</c:v>
                </c:pt>
                <c:pt idx="12">
                  <c:v>6810</c:v>
                </c:pt>
                <c:pt idx="13">
                  <c:v>8831</c:v>
                </c:pt>
                <c:pt idx="14">
                  <c:v>12413</c:v>
                </c:pt>
                <c:pt idx="15">
                  <c:v>20742</c:v>
                </c:pt>
                <c:pt idx="16">
                  <c:v>62303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60-44D4-9211-11BD248EF3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416787008"/>
        <c:axId val="-416778848"/>
        <c:axId val="0"/>
      </c:bar3DChart>
      <c:catAx>
        <c:axId val="-416787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16778848"/>
        <c:crosses val="autoZero"/>
        <c:auto val="1"/>
        <c:lblAlgn val="ctr"/>
        <c:lblOffset val="100"/>
        <c:noMultiLvlLbl val="0"/>
      </c:catAx>
      <c:valAx>
        <c:axId val="-41677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1678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baseline="0">
                <a:effectLst/>
              </a:rPr>
              <a:t>Zezwolenia na pracę sezonową wydane w 2020 roku wg płci i wieku</a:t>
            </a:r>
            <a:endParaRPr lang="pl-PL" sz="105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"/>
      <c:rotY val="5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Arkusz1!$H$18</c:f>
              <c:strCache>
                <c:ptCount val="1"/>
                <c:pt idx="0">
                  <c:v>kobieta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Arkusz1!$G$19:$G$25</c:f>
              <c:strCache>
                <c:ptCount val="7"/>
                <c:pt idx="0">
                  <c:v>poniżej 25 lat</c:v>
                </c:pt>
                <c:pt idx="1">
                  <c:v>25-34 lat</c:v>
                </c:pt>
                <c:pt idx="2">
                  <c:v>35-44 lat</c:v>
                </c:pt>
                <c:pt idx="3">
                  <c:v>45-54 lat</c:v>
                </c:pt>
                <c:pt idx="4">
                  <c:v>55-59 lat</c:v>
                </c:pt>
                <c:pt idx="5">
                  <c:v>60-64 lat</c:v>
                </c:pt>
                <c:pt idx="6">
                  <c:v>powyżej 64 lat</c:v>
                </c:pt>
              </c:strCache>
            </c:strRef>
          </c:cat>
          <c:val>
            <c:numRef>
              <c:f>Arkusz1!$H$19:$H$25</c:f>
              <c:numCache>
                <c:formatCode>0%</c:formatCode>
                <c:ptCount val="7"/>
                <c:pt idx="0">
                  <c:v>0.14046181853022899</c:v>
                </c:pt>
                <c:pt idx="1">
                  <c:v>0.22233400402414488</c:v>
                </c:pt>
                <c:pt idx="2">
                  <c:v>0.31163169493149373</c:v>
                </c:pt>
                <c:pt idx="3">
                  <c:v>0.23742454728370221</c:v>
                </c:pt>
                <c:pt idx="4">
                  <c:v>6.0326243173325668E-2</c:v>
                </c:pt>
                <c:pt idx="5">
                  <c:v>2.2396282456644628E-2</c:v>
                </c:pt>
                <c:pt idx="6">
                  <c:v>5.4254096004599022E-3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77-4138-B200-AF89F7CACB68}"/>
            </c:ext>
          </c:extLst>
        </c:ser>
        <c:ser>
          <c:idx val="1"/>
          <c:order val="1"/>
          <c:tx>
            <c:strRef>
              <c:f>Arkusz1!$I$18</c:f>
              <c:strCache>
                <c:ptCount val="1"/>
                <c:pt idx="0">
                  <c:v>mężczyzna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Arkusz1!$G$19:$G$25</c:f>
              <c:strCache>
                <c:ptCount val="7"/>
                <c:pt idx="0">
                  <c:v>poniżej 25 lat</c:v>
                </c:pt>
                <c:pt idx="1">
                  <c:v>25-34 lat</c:v>
                </c:pt>
                <c:pt idx="2">
                  <c:v>35-44 lat</c:v>
                </c:pt>
                <c:pt idx="3">
                  <c:v>45-54 lat</c:v>
                </c:pt>
                <c:pt idx="4">
                  <c:v>55-59 lat</c:v>
                </c:pt>
                <c:pt idx="5">
                  <c:v>60-64 lat</c:v>
                </c:pt>
                <c:pt idx="6">
                  <c:v>powyżej 64 lat</c:v>
                </c:pt>
              </c:strCache>
            </c:strRef>
          </c:cat>
          <c:val>
            <c:numRef>
              <c:f>Arkusz1!$I$19:$I$25</c:f>
              <c:numCache>
                <c:formatCode>0%</c:formatCode>
                <c:ptCount val="7"/>
                <c:pt idx="0">
                  <c:v>0.21179351152825954</c:v>
                </c:pt>
                <c:pt idx="1">
                  <c:v>0.30502123870824138</c:v>
                </c:pt>
                <c:pt idx="2">
                  <c:v>0.24963365546919924</c:v>
                </c:pt>
                <c:pt idx="3">
                  <c:v>0.18050119641631579</c:v>
                </c:pt>
                <c:pt idx="4">
                  <c:v>3.9305522064142756E-2</c:v>
                </c:pt>
                <c:pt idx="5">
                  <c:v>1.1778672256125836E-2</c:v>
                </c:pt>
                <c:pt idx="6">
                  <c:v>1.9662035577154941E-3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77-4138-B200-AF89F7CA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416789728"/>
        <c:axId val="-416784832"/>
        <c:axId val="0"/>
      </c:bar3DChart>
      <c:catAx>
        <c:axId val="-416789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16784832"/>
        <c:crosses val="autoZero"/>
        <c:auto val="1"/>
        <c:lblAlgn val="ctr"/>
        <c:lblOffset val="100"/>
        <c:noMultiLvlLbl val="0"/>
      </c:catAx>
      <c:valAx>
        <c:axId val="-41678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416789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u="none" strike="noStrike" baseline="0">
                <a:effectLst/>
              </a:rPr>
              <a:t>Średni czas trwania postępowania (wyrażony liczbą dni) </a:t>
            </a:r>
            <a:endParaRPr lang="pl-PL" sz="12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"/>
      <c:rotY val="5"/>
      <c:depthPercent val="100"/>
      <c:rAngAx val="0"/>
      <c:perspective val="1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Arkusz1!$F$12:$K$12</c:f>
              <c:strCache>
                <c:ptCount val="6"/>
                <c:pt idx="0">
                  <c:v>2015 rok</c:v>
                </c:pt>
                <c:pt idx="1">
                  <c:v>2016 rok</c:v>
                </c:pt>
                <c:pt idx="2">
                  <c:v>2017 rok</c:v>
                </c:pt>
                <c:pt idx="3">
                  <c:v>2018 rok</c:v>
                </c:pt>
                <c:pt idx="4">
                  <c:v>2019 rok</c:v>
                </c:pt>
                <c:pt idx="5">
                  <c:v>2020 rok</c:v>
                </c:pt>
              </c:strCache>
            </c:strRef>
          </c:cat>
          <c:val>
            <c:numRef>
              <c:f>Arkusz1!$F$13:$K$13</c:f>
              <c:numCache>
                <c:formatCode>General</c:formatCode>
                <c:ptCount val="6"/>
                <c:pt idx="0">
                  <c:v>62</c:v>
                </c:pt>
                <c:pt idx="1">
                  <c:v>60</c:v>
                </c:pt>
                <c:pt idx="2">
                  <c:v>61</c:v>
                </c:pt>
                <c:pt idx="3">
                  <c:v>54</c:v>
                </c:pt>
                <c:pt idx="4">
                  <c:v>63</c:v>
                </c:pt>
                <c:pt idx="5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E-460F-859B-2F1D5AE847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581253520"/>
        <c:axId val="-581245904"/>
        <c:axId val="0"/>
      </c:bar3DChart>
      <c:catAx>
        <c:axId val="-581253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45904"/>
        <c:crosses val="autoZero"/>
        <c:auto val="1"/>
        <c:lblAlgn val="ctr"/>
        <c:lblOffset val="100"/>
        <c:noMultiLvlLbl val="0"/>
      </c:catAx>
      <c:valAx>
        <c:axId val="-581245904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58125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0"/>
              <a:t>Liczba wniosków  złożonych w latach 2018-2020 </a:t>
            </a:r>
          </a:p>
        </c:rich>
      </c:tx>
      <c:layout>
        <c:manualLayout>
          <c:xMode val="edge"/>
          <c:yMode val="edge"/>
          <c:x val="0.20489417989417991"/>
          <c:y val="1.839219605077951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'zezw. na pracę - sprawy w toku'!$C$23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'zezw. na pracę - sprawy w toku'!$B$24:$B$39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'zezw. na pracę - sprawy w toku'!$C$24:$C$39</c:f>
              <c:numCache>
                <c:formatCode>General</c:formatCode>
                <c:ptCount val="16"/>
                <c:pt idx="0">
                  <c:v>15193</c:v>
                </c:pt>
                <c:pt idx="1">
                  <c:v>34552</c:v>
                </c:pt>
                <c:pt idx="2">
                  <c:v>8706</c:v>
                </c:pt>
                <c:pt idx="3">
                  <c:v>5205</c:v>
                </c:pt>
                <c:pt idx="4">
                  <c:v>29399</c:v>
                </c:pt>
                <c:pt idx="5">
                  <c:v>21891</c:v>
                </c:pt>
                <c:pt idx="6">
                  <c:v>5520</c:v>
                </c:pt>
                <c:pt idx="7">
                  <c:v>6262</c:v>
                </c:pt>
                <c:pt idx="8">
                  <c:v>9645</c:v>
                </c:pt>
                <c:pt idx="9">
                  <c:v>91589</c:v>
                </c:pt>
                <c:pt idx="10">
                  <c:v>30054</c:v>
                </c:pt>
                <c:pt idx="11">
                  <c:v>37774</c:v>
                </c:pt>
                <c:pt idx="12">
                  <c:v>13979</c:v>
                </c:pt>
                <c:pt idx="13">
                  <c:v>9219</c:v>
                </c:pt>
                <c:pt idx="14">
                  <c:v>27418</c:v>
                </c:pt>
                <c:pt idx="15">
                  <c:v>25753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8D-436E-8EDB-27E082E59CD7}"/>
            </c:ext>
          </c:extLst>
        </c:ser>
        <c:ser>
          <c:idx val="1"/>
          <c:order val="1"/>
          <c:tx>
            <c:strRef>
              <c:f>'zezw. na pracę - sprawy w toku'!$D$23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'zezw. na pracę - sprawy w toku'!$B$24:$B$39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'zezw. na pracę - sprawy w toku'!$D$24:$D$39</c:f>
              <c:numCache>
                <c:formatCode>General</c:formatCode>
                <c:ptCount val="16"/>
                <c:pt idx="0">
                  <c:v>25812</c:v>
                </c:pt>
                <c:pt idx="1">
                  <c:v>58007</c:v>
                </c:pt>
                <c:pt idx="2">
                  <c:v>12947</c:v>
                </c:pt>
                <c:pt idx="3">
                  <c:v>6846</c:v>
                </c:pt>
                <c:pt idx="4">
                  <c:v>37064</c:v>
                </c:pt>
                <c:pt idx="5">
                  <c:v>31783</c:v>
                </c:pt>
                <c:pt idx="6">
                  <c:v>10723</c:v>
                </c:pt>
                <c:pt idx="7">
                  <c:v>10711</c:v>
                </c:pt>
                <c:pt idx="8">
                  <c:v>16061</c:v>
                </c:pt>
                <c:pt idx="9">
                  <c:v>100243</c:v>
                </c:pt>
                <c:pt idx="10">
                  <c:v>42123</c:v>
                </c:pt>
                <c:pt idx="11">
                  <c:v>41407</c:v>
                </c:pt>
                <c:pt idx="12">
                  <c:v>18006</c:v>
                </c:pt>
                <c:pt idx="13">
                  <c:v>14854</c:v>
                </c:pt>
                <c:pt idx="14">
                  <c:v>38851</c:v>
                </c:pt>
                <c:pt idx="15">
                  <c:v>29101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8D-436E-8EDB-27E082E59CD7}"/>
            </c:ext>
          </c:extLst>
        </c:ser>
        <c:ser>
          <c:idx val="2"/>
          <c:order val="2"/>
          <c:tx>
            <c:strRef>
              <c:f>'zezw. na pracę - sprawy w toku'!$E$23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'zezw. na pracę - sprawy w toku'!$B$24:$B$39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'zezw. na pracę - sprawy w toku'!$E$24:$E$39</c:f>
              <c:numCache>
                <c:formatCode>General</c:formatCode>
                <c:ptCount val="16"/>
                <c:pt idx="0">
                  <c:v>26448</c:v>
                </c:pt>
                <c:pt idx="1">
                  <c:v>55379</c:v>
                </c:pt>
                <c:pt idx="2">
                  <c:v>6752</c:v>
                </c:pt>
                <c:pt idx="3">
                  <c:v>4624</c:v>
                </c:pt>
                <c:pt idx="4">
                  <c:v>34980</c:v>
                </c:pt>
                <c:pt idx="5">
                  <c:v>19387</c:v>
                </c:pt>
                <c:pt idx="6">
                  <c:v>13043</c:v>
                </c:pt>
                <c:pt idx="7">
                  <c:v>6366</c:v>
                </c:pt>
                <c:pt idx="8">
                  <c:v>8731</c:v>
                </c:pt>
                <c:pt idx="9">
                  <c:v>99326</c:v>
                </c:pt>
                <c:pt idx="10">
                  <c:v>38050</c:v>
                </c:pt>
                <c:pt idx="11">
                  <c:v>45798</c:v>
                </c:pt>
                <c:pt idx="12">
                  <c:v>13334</c:v>
                </c:pt>
                <c:pt idx="13">
                  <c:v>16108</c:v>
                </c:pt>
                <c:pt idx="14">
                  <c:v>29139</c:v>
                </c:pt>
                <c:pt idx="15">
                  <c:v>22417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8D-436E-8EDB-27E082E59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81245360"/>
        <c:axId val="-581251888"/>
        <c:axId val="0"/>
      </c:bar3DChart>
      <c:catAx>
        <c:axId val="-58124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51888"/>
        <c:crosses val="autoZero"/>
        <c:auto val="1"/>
        <c:lblAlgn val="ctr"/>
        <c:lblOffset val="100"/>
        <c:noMultiLvlLbl val="0"/>
      </c:catAx>
      <c:valAx>
        <c:axId val="-581251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453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0" i="0"/>
              <a:t> Liczba zezwoleń na pracę wydanych w latach 2018-2020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501784449952043E-2"/>
          <c:y val="0.10449946494165772"/>
          <c:w val="0.87588405292092131"/>
          <c:h val="0.7737033135316994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'zezw. na pracę - sprawy w toku'!$C$86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'zezw. na pracę - sprawy w toku'!$B$87:$B$102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'zezw. na pracę - sprawy w toku'!$C$87:$C$102</c:f>
              <c:numCache>
                <c:formatCode>General</c:formatCode>
                <c:ptCount val="16"/>
                <c:pt idx="0">
                  <c:v>14620</c:v>
                </c:pt>
                <c:pt idx="1">
                  <c:v>36503</c:v>
                </c:pt>
                <c:pt idx="2">
                  <c:v>7293</c:v>
                </c:pt>
                <c:pt idx="3">
                  <c:v>4194</c:v>
                </c:pt>
                <c:pt idx="4">
                  <c:v>21904</c:v>
                </c:pt>
                <c:pt idx="5">
                  <c:v>20948</c:v>
                </c:pt>
                <c:pt idx="6">
                  <c:v>5389</c:v>
                </c:pt>
                <c:pt idx="7">
                  <c:v>5390</c:v>
                </c:pt>
                <c:pt idx="8">
                  <c:v>9586</c:v>
                </c:pt>
                <c:pt idx="9">
                  <c:v>80253</c:v>
                </c:pt>
                <c:pt idx="10">
                  <c:v>27325</c:v>
                </c:pt>
                <c:pt idx="11">
                  <c:v>32619</c:v>
                </c:pt>
                <c:pt idx="12">
                  <c:v>10772</c:v>
                </c:pt>
                <c:pt idx="13">
                  <c:v>8066</c:v>
                </c:pt>
                <c:pt idx="14">
                  <c:v>27544</c:v>
                </c:pt>
                <c:pt idx="15">
                  <c:v>19338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A9-4BB8-9022-37188B4D50BA}"/>
            </c:ext>
          </c:extLst>
        </c:ser>
        <c:ser>
          <c:idx val="1"/>
          <c:order val="1"/>
          <c:tx>
            <c:strRef>
              <c:f>'zezw. na pracę - sprawy w toku'!$D$86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'zezw. na pracę - sprawy w toku'!$B$87:$B$102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'zezw. na pracę - sprawy w toku'!$D$87:$D$102</c:f>
              <c:numCache>
                <c:formatCode>General</c:formatCode>
                <c:ptCount val="16"/>
                <c:pt idx="0">
                  <c:v>22864</c:v>
                </c:pt>
                <c:pt idx="1">
                  <c:v>49586</c:v>
                </c:pt>
                <c:pt idx="2">
                  <c:v>10794</c:v>
                </c:pt>
                <c:pt idx="3">
                  <c:v>6170</c:v>
                </c:pt>
                <c:pt idx="4">
                  <c:v>39380</c:v>
                </c:pt>
                <c:pt idx="5">
                  <c:v>30634</c:v>
                </c:pt>
                <c:pt idx="6">
                  <c:v>9840</c:v>
                </c:pt>
                <c:pt idx="7">
                  <c:v>8551</c:v>
                </c:pt>
                <c:pt idx="8">
                  <c:v>11616</c:v>
                </c:pt>
                <c:pt idx="9">
                  <c:v>86292</c:v>
                </c:pt>
                <c:pt idx="10">
                  <c:v>37454</c:v>
                </c:pt>
                <c:pt idx="11">
                  <c:v>43035</c:v>
                </c:pt>
                <c:pt idx="12">
                  <c:v>16418</c:v>
                </c:pt>
                <c:pt idx="13">
                  <c:v>13138</c:v>
                </c:pt>
                <c:pt idx="14">
                  <c:v>41008</c:v>
                </c:pt>
                <c:pt idx="15">
                  <c:v>24295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A9-4BB8-9022-37188B4D50BA}"/>
            </c:ext>
          </c:extLst>
        </c:ser>
        <c:ser>
          <c:idx val="2"/>
          <c:order val="2"/>
          <c:tx>
            <c:strRef>
              <c:f>'zezw. na pracę - sprawy w toku'!$E$86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'zezw. na pracę - sprawy w toku'!$B$87:$B$102</c:f>
              <c:strCache>
                <c:ptCount val="16"/>
                <c:pt idx="0">
                  <c:v>zachodniopomorskie</c:v>
                </c:pt>
                <c:pt idx="1">
                  <c:v>wielkopolskie</c:v>
                </c:pt>
                <c:pt idx="2">
                  <c:v>warmińsko-mazurskie</c:v>
                </c:pt>
                <c:pt idx="3">
                  <c:v>świętokrzyskie</c:v>
                </c:pt>
                <c:pt idx="4">
                  <c:v>śląskie</c:v>
                </c:pt>
                <c:pt idx="5">
                  <c:v>pomorskie</c:v>
                </c:pt>
                <c:pt idx="6">
                  <c:v>podlaskie</c:v>
                </c:pt>
                <c:pt idx="7">
                  <c:v>podkarpackie</c:v>
                </c:pt>
                <c:pt idx="8">
                  <c:v>opolskie</c:v>
                </c:pt>
                <c:pt idx="9">
                  <c:v>mazowieckie</c:v>
                </c:pt>
                <c:pt idx="10">
                  <c:v>małopolskie</c:v>
                </c:pt>
                <c:pt idx="11">
                  <c:v>łódzkie</c:v>
                </c:pt>
                <c:pt idx="12">
                  <c:v>lubuskie</c:v>
                </c:pt>
                <c:pt idx="13">
                  <c:v>lubelskie</c:v>
                </c:pt>
                <c:pt idx="14">
                  <c:v>kujawsko-pomorskie</c:v>
                </c:pt>
                <c:pt idx="15">
                  <c:v>dolnośląskie</c:v>
                </c:pt>
              </c:strCache>
            </c:strRef>
          </c:cat>
          <c:val>
            <c:numRef>
              <c:f>'zezw. na pracę - sprawy w toku'!$E$87:$E$102</c:f>
              <c:numCache>
                <c:formatCode>General</c:formatCode>
                <c:ptCount val="16"/>
                <c:pt idx="0">
                  <c:v>27149</c:v>
                </c:pt>
                <c:pt idx="1">
                  <c:v>52189</c:v>
                </c:pt>
                <c:pt idx="2">
                  <c:v>6766</c:v>
                </c:pt>
                <c:pt idx="3">
                  <c:v>4760</c:v>
                </c:pt>
                <c:pt idx="4">
                  <c:v>35810</c:v>
                </c:pt>
                <c:pt idx="5">
                  <c:v>23625</c:v>
                </c:pt>
                <c:pt idx="6">
                  <c:v>12541</c:v>
                </c:pt>
                <c:pt idx="7">
                  <c:v>6703</c:v>
                </c:pt>
                <c:pt idx="8">
                  <c:v>11388</c:v>
                </c:pt>
                <c:pt idx="9">
                  <c:v>70979</c:v>
                </c:pt>
                <c:pt idx="10">
                  <c:v>34891</c:v>
                </c:pt>
                <c:pt idx="11">
                  <c:v>42755</c:v>
                </c:pt>
                <c:pt idx="12">
                  <c:v>14129</c:v>
                </c:pt>
                <c:pt idx="13">
                  <c:v>15923</c:v>
                </c:pt>
                <c:pt idx="14">
                  <c:v>35301</c:v>
                </c:pt>
                <c:pt idx="15">
                  <c:v>22969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A9-4BB8-9022-37188B4D5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81251344"/>
        <c:axId val="-581260592"/>
        <c:axId val="0"/>
      </c:bar3DChart>
      <c:catAx>
        <c:axId val="-58125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60592"/>
        <c:crosses val="autoZero"/>
        <c:auto val="1"/>
        <c:lblAlgn val="ctr"/>
        <c:lblOffset val="100"/>
        <c:noMultiLvlLbl val="0"/>
      </c:catAx>
      <c:valAx>
        <c:axId val="-581260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513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200" b="0" i="0" baseline="0">
                <a:effectLst/>
              </a:rPr>
              <a:t>Liczba wydanych zezwoleń na pracę w 2020 roku wg płci i wieku</a:t>
            </a:r>
            <a:endParaRPr lang="pl-PL" sz="105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"/>
      <c:rotY val="5"/>
      <c:depthPercent val="100"/>
      <c:rAngAx val="0"/>
      <c:perspective val="1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Arkusz2!$K$7</c:f>
              <c:strCache>
                <c:ptCount val="1"/>
                <c:pt idx="0">
                  <c:v>kobieta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Arkusz2!$J$8:$J$14</c:f>
              <c:strCache>
                <c:ptCount val="7"/>
                <c:pt idx="0">
                  <c:v>poniżej 25 lat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 lat</c:v>
                </c:pt>
              </c:strCache>
            </c:strRef>
          </c:cat>
          <c:val>
            <c:numRef>
              <c:f>Arkusz2!$K$8:$K$14</c:f>
              <c:numCache>
                <c:formatCode>0%</c:formatCode>
                <c:ptCount val="7"/>
                <c:pt idx="0">
                  <c:v>4.6336490554659493E-2</c:v>
                </c:pt>
                <c:pt idx="1">
                  <c:v>7.2985416796289823E-2</c:v>
                </c:pt>
                <c:pt idx="2">
                  <c:v>7.6752066392583487E-2</c:v>
                </c:pt>
                <c:pt idx="3">
                  <c:v>5.8581691307032197E-2</c:v>
                </c:pt>
                <c:pt idx="4">
                  <c:v>1.2015468629600026E-2</c:v>
                </c:pt>
                <c:pt idx="5">
                  <c:v>3.5464896453031745E-3</c:v>
                </c:pt>
                <c:pt idx="6">
                  <c:v>7.5380852784784076E-4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39-4B30-9637-42CCE80DAE71}"/>
            </c:ext>
          </c:extLst>
        </c:ser>
        <c:ser>
          <c:idx val="1"/>
          <c:order val="1"/>
          <c:tx>
            <c:strRef>
              <c:f>Arkusz2!$L$7</c:f>
              <c:strCache>
                <c:ptCount val="1"/>
                <c:pt idx="0">
                  <c:v>mężczyzna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Arkusz2!$J$8:$J$14</c:f>
              <c:strCache>
                <c:ptCount val="7"/>
                <c:pt idx="0">
                  <c:v>poniżej 25 lat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 lat</c:v>
                </c:pt>
              </c:strCache>
            </c:strRef>
          </c:cat>
          <c:val>
            <c:numRef>
              <c:f>Arkusz2!$L$8:$L$14</c:f>
              <c:numCache>
                <c:formatCode>0%</c:formatCode>
                <c:ptCount val="7"/>
                <c:pt idx="0">
                  <c:v>0.10070881932047153</c:v>
                </c:pt>
                <c:pt idx="1">
                  <c:v>0.26001847429153963</c:v>
                </c:pt>
                <c:pt idx="2">
                  <c:v>0.21645073442488</c:v>
                </c:pt>
                <c:pt idx="3">
                  <c:v>0.12251661968325683</c:v>
                </c:pt>
                <c:pt idx="4">
                  <c:v>2.2556822804742055E-2</c:v>
                </c:pt>
                <c:pt idx="5">
                  <c:v>5.8605621736487687E-3</c:v>
                </c:pt>
                <c:pt idx="6">
                  <c:v>9.165354481451524E-4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39-4B30-9637-42CCE80DAE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581255152"/>
        <c:axId val="-581248624"/>
        <c:axId val="0"/>
      </c:bar3DChart>
      <c:catAx>
        <c:axId val="-58125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48624"/>
        <c:crosses val="autoZero"/>
        <c:auto val="1"/>
        <c:lblAlgn val="ctr"/>
        <c:lblOffset val="100"/>
        <c:noMultiLvlLbl val="0"/>
      </c:catAx>
      <c:valAx>
        <c:axId val="-58124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5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0" i="0" u="none" strike="noStrike" baseline="0">
                <a:effectLst/>
              </a:rPr>
              <a:t>Liczba wydanych zezwoleń na pracę w 2020 roku wg sekcji PKD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Arkusz2!$B$40</c:f>
              <c:strCache>
                <c:ptCount val="1"/>
                <c:pt idx="0">
                  <c:v>Liczba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Arkusz2!$A$41:$A$61</c:f>
              <c:strCache>
                <c:ptCount val="21"/>
                <c:pt idx="0">
                  <c:v>DZIAŁALNOŚĆ W ZAKRESIE USŁUG ADMINISTROWANIA I DZIAŁALNOŚĆ WSPIERAJĄCA</c:v>
                </c:pt>
                <c:pt idx="1">
                  <c:v>BUDOWNICTWO</c:v>
                </c:pt>
                <c:pt idx="2">
                  <c:v>PRZETWÓRSTWO PRZEMYSŁOWE</c:v>
                </c:pt>
                <c:pt idx="3">
                  <c:v>TRANSPORT I GOSPODARKA MAGAZYNOWA</c:v>
                </c:pt>
                <c:pt idx="4">
                  <c:v>DZIAŁALNOŚĆ ZWIĄZANA Z ZAKWATEROWANIEM I USŁUGAMI GASTRONOMICZNYMI</c:v>
                </c:pt>
                <c:pt idx="5">
                  <c:v>HANDEL HURTOWY I DETALICZNY; NAPRAWA POJAZDÓW SAMOCHODOWYCH, WŁĄCZAJĄC MOTOCYKLE</c:v>
                </c:pt>
                <c:pt idx="6">
                  <c:v>OPIEKA ZDROWOTNA I POMOC SPOŁECZNA</c:v>
                </c:pt>
                <c:pt idx="7">
                  <c:v>DZIAŁALNOŚĆ PROFESJONALNA, NAUKOWA I TECHNICZNA</c:v>
                </c:pt>
                <c:pt idx="8">
                  <c:v>ROLNICTWO, LEŚNICTWO, ŁOWIECTWO I RYBACTWO</c:v>
                </c:pt>
                <c:pt idx="9">
                  <c:v>INFORMACJA I KOMUNIKACJA</c:v>
                </c:pt>
                <c:pt idx="10">
                  <c:v>POZOSTAŁA DZIAŁALNOŚĆ USŁUGOWA</c:v>
                </c:pt>
                <c:pt idx="11">
                  <c:v>GOSPODARSTWA DOMOWE ZATRUDNIAJĄCE PRACOWNIKÓW; GOSPODARSTWA DOMOWE PRODUKUJĄCE WYROBY I ŚWIADCZĄCE USŁUGI NA WŁASNE POTRZEBY</c:v>
                </c:pt>
                <c:pt idx="12">
                  <c:v>DOSTAWA WODY; GOSPODAROWANIE ŚCIEKAMI I ODPADAMI ORAZ DZIAŁALNOŚĆ ZWIĄZANA Z REKULTYWACJĄ</c:v>
                </c:pt>
                <c:pt idx="13">
                  <c:v>DZIAŁALNOŚĆ ZWIĄZANA Z KULTURĄ, ROZRYWKĄ I REKREACJĄ</c:v>
                </c:pt>
                <c:pt idx="14">
                  <c:v>EDUKACJA</c:v>
                </c:pt>
                <c:pt idx="15">
                  <c:v>DZIAŁALNOŚĆ ZWIĄZANA Z OBSŁUGĄ RYNKU NIERUCHOMOŚCI</c:v>
                </c:pt>
                <c:pt idx="16">
                  <c:v>DZIAŁALNOŚĆ FINANSOWA I UBEZPIECZENIOWA</c:v>
                </c:pt>
                <c:pt idx="17">
                  <c:v>GÓRNICTWO I WYDOBYWANIE</c:v>
                </c:pt>
                <c:pt idx="18">
                  <c:v>WYTWARZANIE I ZAOPATRYWANIE W ENERGIĘ ELEKTRYCZNĄ, GAZ, PARĘ WODNĄ, GORĄCĄ WODĘ I POWIETRZE DO UKŁADÓW KLIMATYZACYJNYCH</c:v>
                </c:pt>
                <c:pt idx="19">
                  <c:v>ADMINISTRACJA PUBLICZNA I OBRONA NARODOWA; OBOWIĄZKOWE ZABEZPIECZENIA SPOŁECZNE</c:v>
                </c:pt>
                <c:pt idx="20">
                  <c:v>ORGANIZACJE I ZESPOŁY EKSTERYTORIALNE</c:v>
                </c:pt>
              </c:strCache>
            </c:strRef>
          </c:cat>
          <c:val>
            <c:numRef>
              <c:f>Arkusz2!$B$41:$B$61</c:f>
              <c:numCache>
                <c:formatCode>General</c:formatCode>
                <c:ptCount val="21"/>
                <c:pt idx="0">
                  <c:v>97829</c:v>
                </c:pt>
                <c:pt idx="1">
                  <c:v>94987</c:v>
                </c:pt>
                <c:pt idx="2">
                  <c:v>92026</c:v>
                </c:pt>
                <c:pt idx="3">
                  <c:v>76340</c:v>
                </c:pt>
                <c:pt idx="4">
                  <c:v>14098</c:v>
                </c:pt>
                <c:pt idx="5">
                  <c:v>12277</c:v>
                </c:pt>
                <c:pt idx="6">
                  <c:v>5670</c:v>
                </c:pt>
                <c:pt idx="7">
                  <c:v>5332</c:v>
                </c:pt>
                <c:pt idx="8">
                  <c:v>4935</c:v>
                </c:pt>
                <c:pt idx="9">
                  <c:v>4089</c:v>
                </c:pt>
                <c:pt idx="10">
                  <c:v>3905</c:v>
                </c:pt>
                <c:pt idx="11">
                  <c:v>2367</c:v>
                </c:pt>
                <c:pt idx="12">
                  <c:v>1377</c:v>
                </c:pt>
                <c:pt idx="13">
                  <c:v>866</c:v>
                </c:pt>
                <c:pt idx="14">
                  <c:v>580</c:v>
                </c:pt>
                <c:pt idx="15">
                  <c:v>557</c:v>
                </c:pt>
                <c:pt idx="16">
                  <c:v>391</c:v>
                </c:pt>
                <c:pt idx="17">
                  <c:v>171</c:v>
                </c:pt>
                <c:pt idx="18">
                  <c:v>58</c:v>
                </c:pt>
                <c:pt idx="19">
                  <c:v>20</c:v>
                </c:pt>
                <c:pt idx="2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54-4296-95DA-0727F8068B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581248080"/>
        <c:axId val="-581247536"/>
        <c:axId val="0"/>
      </c:bar3DChart>
      <c:catAx>
        <c:axId val="-58124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47536"/>
        <c:crosses val="autoZero"/>
        <c:auto val="1"/>
        <c:lblAlgn val="ctr"/>
        <c:lblOffset val="100"/>
        <c:noMultiLvlLbl val="0"/>
      </c:catAx>
      <c:valAx>
        <c:axId val="-581247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4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Liczba oświadczeń wpisanych do ewidencji w 2020 roku</a:t>
            </a:r>
            <a:endParaRPr lang="pl-PL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'oświadczenia w ewidencji - mies'!$B$1:$B$2</c:f>
              <c:strCache>
                <c:ptCount val="2"/>
                <c:pt idx="0">
                  <c:v>Liczba oświadczeń wpisanych do ewidencji w 2020 roku</c:v>
                </c:pt>
                <c:pt idx="1">
                  <c:v>Liczba oświadczeń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'oświadczenia w ewidencji - mies'!$A$3:$A$14</c:f>
              <c:strCache>
                <c:ptCount val="12"/>
                <c:pt idx="0">
                  <c:v>2020-01</c:v>
                </c:pt>
                <c:pt idx="1">
                  <c:v>2020-02</c:v>
                </c:pt>
                <c:pt idx="2">
                  <c:v>2020-03</c:v>
                </c:pt>
                <c:pt idx="3">
                  <c:v>2020-04</c:v>
                </c:pt>
                <c:pt idx="4">
                  <c:v>2020-05</c:v>
                </c:pt>
                <c:pt idx="5">
                  <c:v>2020-06</c:v>
                </c:pt>
                <c:pt idx="6">
                  <c:v>2020-07</c:v>
                </c:pt>
                <c:pt idx="7">
                  <c:v>2020-08</c:v>
                </c:pt>
                <c:pt idx="8">
                  <c:v>2020-09</c:v>
                </c:pt>
                <c:pt idx="9">
                  <c:v>2020-10</c:v>
                </c:pt>
                <c:pt idx="10">
                  <c:v>2020-11</c:v>
                </c:pt>
                <c:pt idx="11">
                  <c:v>2020-12</c:v>
                </c:pt>
              </c:strCache>
            </c:strRef>
          </c:cat>
          <c:val>
            <c:numRef>
              <c:f>'oświadczenia w ewidencji - mies'!$B$3:$B$14</c:f>
              <c:numCache>
                <c:formatCode>General</c:formatCode>
                <c:ptCount val="12"/>
                <c:pt idx="0">
                  <c:v>136424</c:v>
                </c:pt>
                <c:pt idx="1">
                  <c:v>135638</c:v>
                </c:pt>
                <c:pt idx="2">
                  <c:v>101161</c:v>
                </c:pt>
                <c:pt idx="3">
                  <c:v>45145</c:v>
                </c:pt>
                <c:pt idx="4">
                  <c:v>69451</c:v>
                </c:pt>
                <c:pt idx="5">
                  <c:v>123928</c:v>
                </c:pt>
                <c:pt idx="6">
                  <c:v>160506</c:v>
                </c:pt>
                <c:pt idx="7">
                  <c:v>139484</c:v>
                </c:pt>
                <c:pt idx="8">
                  <c:v>177696</c:v>
                </c:pt>
                <c:pt idx="9">
                  <c:v>169580</c:v>
                </c:pt>
                <c:pt idx="10">
                  <c:v>128816</c:v>
                </c:pt>
                <c:pt idx="11">
                  <c:v>131770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BD-4CFA-83BA-32C8534434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-581246992"/>
        <c:axId val="-581246448"/>
        <c:axId val="0"/>
      </c:bar3DChart>
      <c:catAx>
        <c:axId val="-58124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46448"/>
        <c:crosses val="autoZero"/>
        <c:auto val="1"/>
        <c:lblAlgn val="ctr"/>
        <c:lblOffset val="100"/>
        <c:noMultiLvlLbl val="0"/>
      </c:catAx>
      <c:valAx>
        <c:axId val="-58124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4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Liczba oświadczeń</a:t>
            </a:r>
            <a:r>
              <a:rPr lang="pl-PL" sz="1100"/>
              <a:t> wpisanych do ewidencji w 2020 wg miejsca wykonywania pracy</a:t>
            </a:r>
            <a:r>
              <a:rPr lang="en-US" sz="1100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"/>
      <c:rotY val="5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Arkusz2!$F$3</c:f>
              <c:strCache>
                <c:ptCount val="1"/>
                <c:pt idx="0">
                  <c:v>Liczba oświadczeń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Arkusz2!$E$4:$E$20</c:f>
              <c:strCache>
                <c:ptCount val="17"/>
                <c:pt idx="0">
                  <c:v>Brak danych</c:v>
                </c:pt>
                <c:pt idx="1">
                  <c:v>świętokrzyskie</c:v>
                </c:pt>
                <c:pt idx="2">
                  <c:v>podkarpackie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lubelskie</c:v>
                </c:pt>
                <c:pt idx="6">
                  <c:v>opolskie</c:v>
                </c:pt>
                <c:pt idx="7">
                  <c:v>kujawsko-pomorskie</c:v>
                </c:pt>
                <c:pt idx="8">
                  <c:v>małopolskie</c:v>
                </c:pt>
                <c:pt idx="9">
                  <c:v>zachodniopomorskie</c:v>
                </c:pt>
                <c:pt idx="10">
                  <c:v>lubuskie</c:v>
                </c:pt>
                <c:pt idx="11">
                  <c:v>pomorskie</c:v>
                </c:pt>
                <c:pt idx="12">
                  <c:v>śląskie</c:v>
                </c:pt>
                <c:pt idx="13">
                  <c:v>łódzkie</c:v>
                </c:pt>
                <c:pt idx="14">
                  <c:v>wielkopolskie</c:v>
                </c:pt>
                <c:pt idx="15">
                  <c:v>dolnośląskie</c:v>
                </c:pt>
                <c:pt idx="16">
                  <c:v>mazowieckie</c:v>
                </c:pt>
              </c:strCache>
            </c:strRef>
          </c:cat>
          <c:val>
            <c:numRef>
              <c:f>Arkusz2!$F$4:$F$20</c:f>
              <c:numCache>
                <c:formatCode>General</c:formatCode>
                <c:ptCount val="17"/>
                <c:pt idx="0">
                  <c:v>12848</c:v>
                </c:pt>
                <c:pt idx="1">
                  <c:v>12891</c:v>
                </c:pt>
                <c:pt idx="2">
                  <c:v>18875</c:v>
                </c:pt>
                <c:pt idx="3">
                  <c:v>30334</c:v>
                </c:pt>
                <c:pt idx="4">
                  <c:v>31295</c:v>
                </c:pt>
                <c:pt idx="5">
                  <c:v>32405</c:v>
                </c:pt>
                <c:pt idx="6">
                  <c:v>40271</c:v>
                </c:pt>
                <c:pt idx="7">
                  <c:v>56628</c:v>
                </c:pt>
                <c:pt idx="8">
                  <c:v>66165</c:v>
                </c:pt>
                <c:pt idx="9">
                  <c:v>71505</c:v>
                </c:pt>
                <c:pt idx="10">
                  <c:v>79150</c:v>
                </c:pt>
                <c:pt idx="11">
                  <c:v>110087</c:v>
                </c:pt>
                <c:pt idx="12">
                  <c:v>142996</c:v>
                </c:pt>
                <c:pt idx="13">
                  <c:v>144597</c:v>
                </c:pt>
                <c:pt idx="14">
                  <c:v>178997</c:v>
                </c:pt>
                <c:pt idx="15">
                  <c:v>205436</c:v>
                </c:pt>
                <c:pt idx="16">
                  <c:v>285119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10-4F8F-8929-C106254747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581260048"/>
        <c:axId val="-581259504"/>
        <c:axId val="0"/>
      </c:bar3DChart>
      <c:catAx>
        <c:axId val="-581260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59504"/>
        <c:crosses val="autoZero"/>
        <c:auto val="1"/>
        <c:lblAlgn val="ctr"/>
        <c:lblOffset val="100"/>
        <c:noMultiLvlLbl val="0"/>
      </c:catAx>
      <c:valAx>
        <c:axId val="-58125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6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Liczba oświadczeń</a:t>
            </a:r>
            <a:r>
              <a:rPr lang="pl-PL" sz="1200" b="0" i="0" baseline="0">
                <a:effectLst/>
              </a:rPr>
              <a:t> wpisanych do ewidencji w 2020 wg płci i wieku</a:t>
            </a:r>
            <a:endParaRPr lang="pl-PL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"/>
      <c:rotY val="5"/>
      <c:depthPercent val="100"/>
      <c:rAngAx val="0"/>
      <c:perspective val="1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Arkusz1!$M$1</c:f>
              <c:strCache>
                <c:ptCount val="1"/>
                <c:pt idx="0">
                  <c:v>kobieta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Arkusz1!$L$2:$L$8</c:f>
              <c:strCache>
                <c:ptCount val="7"/>
                <c:pt idx="0">
                  <c:v>poniżej 25 lat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 lat</c:v>
                </c:pt>
              </c:strCache>
            </c:strRef>
          </c:cat>
          <c:val>
            <c:numRef>
              <c:f>Arkusz1!$M$2:$M$8</c:f>
              <c:numCache>
                <c:formatCode>0%</c:formatCode>
                <c:ptCount val="7"/>
                <c:pt idx="0">
                  <c:v>7.9222447083716022E-2</c:v>
                </c:pt>
                <c:pt idx="1">
                  <c:v>8.4723293165292493E-2</c:v>
                </c:pt>
                <c:pt idx="2">
                  <c:v>0.10064094297962825</c:v>
                </c:pt>
                <c:pt idx="3">
                  <c:v>8.8297757554863715E-2</c:v>
                </c:pt>
                <c:pt idx="4">
                  <c:v>1.9688173542779096E-2</c:v>
                </c:pt>
                <c:pt idx="5">
                  <c:v>6.3929818651690716E-3</c:v>
                </c:pt>
                <c:pt idx="6">
                  <c:v>1.5145254969248948E-3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FF-4E9E-AA59-93659DE098CE}"/>
            </c:ext>
          </c:extLst>
        </c:ser>
        <c:ser>
          <c:idx val="1"/>
          <c:order val="1"/>
          <c:tx>
            <c:strRef>
              <c:f>Arkusz1!$N$1</c:f>
              <c:strCache>
                <c:ptCount val="1"/>
                <c:pt idx="0">
                  <c:v>mężczyzna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Arkusz1!$L$2:$L$8</c:f>
              <c:strCache>
                <c:ptCount val="7"/>
                <c:pt idx="0">
                  <c:v>poniżej 25 lat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 lat</c:v>
                </c:pt>
              </c:strCache>
            </c:strRef>
          </c:cat>
          <c:val>
            <c:numRef>
              <c:f>Arkusz1!$N$2:$N$8</c:f>
              <c:numCache>
                <c:formatCode>0%</c:formatCode>
                <c:ptCount val="7"/>
                <c:pt idx="0">
                  <c:v>0.13320455699800257</c:v>
                </c:pt>
                <c:pt idx="1">
                  <c:v>0.20585835831225804</c:v>
                </c:pt>
                <c:pt idx="2">
                  <c:v>0.15852647590575467</c:v>
                </c:pt>
                <c:pt idx="3">
                  <c:v>9.7890848897462288E-2</c:v>
                </c:pt>
                <c:pt idx="4">
                  <c:v>1.8353259453612887E-2</c:v>
                </c:pt>
                <c:pt idx="5">
                  <c:v>4.8764826165105645E-3</c:v>
                </c:pt>
                <c:pt idx="6">
                  <c:v>8.0989612802543243E-4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FF-4E9E-AA59-93659DE098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581258960"/>
        <c:axId val="-581258416"/>
        <c:axId val="0"/>
      </c:bar3DChart>
      <c:catAx>
        <c:axId val="-581258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58416"/>
        <c:crosses val="autoZero"/>
        <c:auto val="1"/>
        <c:lblAlgn val="ctr"/>
        <c:lblOffset val="100"/>
        <c:noMultiLvlLbl val="0"/>
      </c:catAx>
      <c:valAx>
        <c:axId val="-58125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58125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040F-6E85-4409-B3E1-2DC68C66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3510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Baryła</dc:creator>
  <cp:keywords/>
  <dc:description/>
  <cp:lastModifiedBy>Baryła Tomasz</cp:lastModifiedBy>
  <cp:revision>3</cp:revision>
  <cp:lastPrinted>2021-02-03T08:53:00Z</cp:lastPrinted>
  <dcterms:created xsi:type="dcterms:W3CDTF">2021-03-03T14:13:00Z</dcterms:created>
  <dcterms:modified xsi:type="dcterms:W3CDTF">2021-03-08T13:29:00Z</dcterms:modified>
</cp:coreProperties>
</file>